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AF6D0F">
      <w:pPr>
        <w:adjustRightInd w:val="0"/>
        <w:spacing w:before="156" w:beforeLines="50" w:after="156" w:afterLines="50" w:line="340" w:lineRule="exact"/>
        <w:jc w:val="center"/>
        <w:rPr>
          <w:rFonts w:ascii="宋体" w:hAnsi="宋体" w:cs="宋体"/>
          <w:b/>
          <w:kern w:val="0"/>
          <w:sz w:val="24"/>
        </w:rPr>
      </w:pPr>
      <w:r>
        <w:rPr>
          <w:rFonts w:hint="eastAsia" w:ascii="宋体" w:hAnsi="宋体" w:cs="宋体"/>
          <w:b/>
          <w:kern w:val="0"/>
          <w:sz w:val="24"/>
        </w:rPr>
        <w:t xml:space="preserve"> “熊猫理财”天添利系列A款净值型</w:t>
      </w:r>
    </w:p>
    <w:p w14:paraId="2801F3E1">
      <w:pPr>
        <w:adjustRightInd w:val="0"/>
        <w:spacing w:before="156" w:beforeLines="50" w:after="156" w:afterLines="50" w:line="340" w:lineRule="exact"/>
        <w:jc w:val="center"/>
        <w:rPr>
          <w:rFonts w:ascii="宋体" w:hAnsi="宋体" w:cs="宋体"/>
          <w:b/>
          <w:kern w:val="0"/>
          <w:sz w:val="24"/>
        </w:rPr>
      </w:pPr>
      <w:r>
        <w:rPr>
          <w:rFonts w:hint="eastAsia" w:ascii="宋体" w:hAnsi="宋体" w:cs="宋体"/>
          <w:b/>
          <w:kern w:val="0"/>
          <w:sz w:val="24"/>
        </w:rPr>
        <w:t>理财产品运行</w:t>
      </w:r>
      <w:r>
        <w:rPr>
          <w:rFonts w:hint="eastAsia" w:ascii="宋体" w:hAnsi="宋体" w:cs="宋体"/>
          <w:b/>
          <w:kern w:val="0"/>
          <w:sz w:val="24"/>
          <w:lang w:eastAsia="zh-CN"/>
        </w:rPr>
        <w:t>公</w:t>
      </w:r>
      <w:r>
        <w:rPr>
          <w:rFonts w:hint="eastAsia" w:ascii="宋体" w:hAnsi="宋体" w:cs="宋体"/>
          <w:b/>
          <w:kern w:val="0"/>
          <w:sz w:val="24"/>
        </w:rPr>
        <w:t>告</w:t>
      </w:r>
    </w:p>
    <w:p w14:paraId="3B7D2B92">
      <w:pPr>
        <w:adjustRightInd w:val="0"/>
        <w:spacing w:before="156" w:beforeLines="50" w:after="156" w:afterLines="50" w:line="340" w:lineRule="exact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尊敬的客户：</w:t>
      </w:r>
    </w:p>
    <w:p w14:paraId="3875172F">
      <w:pPr>
        <w:adjustRightInd w:val="0"/>
        <w:spacing w:before="156" w:beforeLines="50" w:after="156" w:afterLines="50" w:line="340" w:lineRule="exact"/>
        <w:ind w:firstLine="480" w:firstLineChars="200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我行“熊猫理财”天添利系列A款净值型理财产品截至202</w:t>
      </w:r>
      <w:r>
        <w:rPr>
          <w:rFonts w:hint="eastAsia" w:ascii="宋体" w:hAnsi="宋体" w:cs="宋体"/>
          <w:kern w:val="0"/>
          <w:sz w:val="24"/>
          <w:lang w:val="en-US" w:eastAsia="zh-CN"/>
        </w:rPr>
        <w:t>6</w:t>
      </w:r>
      <w:r>
        <w:rPr>
          <w:rFonts w:hint="eastAsia" w:ascii="宋体" w:hAnsi="宋体" w:cs="宋体"/>
          <w:kern w:val="0"/>
          <w:sz w:val="24"/>
        </w:rPr>
        <w:t>年</w:t>
      </w:r>
      <w:r>
        <w:rPr>
          <w:rFonts w:hint="eastAsia" w:ascii="宋体" w:hAnsi="宋体" w:cs="宋体"/>
          <w:kern w:val="0"/>
          <w:sz w:val="24"/>
          <w:lang w:val="en-US" w:eastAsia="zh-CN"/>
        </w:rPr>
        <w:t>9</w:t>
      </w:r>
      <w:r>
        <w:rPr>
          <w:rFonts w:hint="eastAsia" w:ascii="宋体" w:hAnsi="宋体" w:cs="宋体"/>
          <w:kern w:val="0"/>
          <w:sz w:val="24"/>
        </w:rPr>
        <w:t>月</w:t>
      </w:r>
      <w:r>
        <w:rPr>
          <w:rFonts w:hint="eastAsia" w:ascii="宋体" w:hAnsi="宋体" w:cs="宋体"/>
          <w:kern w:val="0"/>
          <w:sz w:val="24"/>
          <w:lang w:val="en-US" w:eastAsia="zh-CN"/>
        </w:rPr>
        <w:t>20</w:t>
      </w:r>
      <w:r>
        <w:rPr>
          <w:rFonts w:hint="eastAsia" w:ascii="宋体" w:hAnsi="宋体" w:cs="宋体"/>
          <w:kern w:val="0"/>
          <w:sz w:val="24"/>
        </w:rPr>
        <w:t>日万份收益情况如下：</w:t>
      </w:r>
    </w:p>
    <w:tbl>
      <w:tblPr>
        <w:tblStyle w:val="2"/>
        <w:tblW w:w="97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26"/>
        <w:gridCol w:w="1487"/>
        <w:gridCol w:w="1700"/>
        <w:gridCol w:w="1664"/>
        <w:gridCol w:w="2107"/>
      </w:tblGrid>
      <w:tr w14:paraId="2CD565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26" w:type="dxa"/>
            <w:shd w:val="clear" w:color="000000" w:fill="FFFFFF"/>
            <w:noWrap/>
            <w:vAlign w:val="center"/>
          </w:tcPr>
          <w:p w14:paraId="2CED79E2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产品名称</w:t>
            </w:r>
          </w:p>
        </w:tc>
        <w:tc>
          <w:tcPr>
            <w:tcW w:w="1487" w:type="dxa"/>
            <w:shd w:val="clear" w:color="000000" w:fill="FFFFFF"/>
            <w:noWrap/>
            <w:vAlign w:val="center"/>
          </w:tcPr>
          <w:p w14:paraId="0184FE51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万份收益</w:t>
            </w:r>
          </w:p>
        </w:tc>
        <w:tc>
          <w:tcPr>
            <w:tcW w:w="1700" w:type="dxa"/>
            <w:shd w:val="clear" w:color="000000" w:fill="FFFFFF"/>
            <w:noWrap/>
            <w:vAlign w:val="center"/>
          </w:tcPr>
          <w:p w14:paraId="6F7F6987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近七日年化</w:t>
            </w:r>
          </w:p>
          <w:p w14:paraId="1A03ECE0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收益率</w:t>
            </w:r>
          </w:p>
        </w:tc>
        <w:tc>
          <w:tcPr>
            <w:tcW w:w="1664" w:type="dxa"/>
            <w:shd w:val="clear" w:color="000000" w:fill="FFFFFF"/>
            <w:noWrap/>
            <w:vAlign w:val="center"/>
          </w:tcPr>
          <w:p w14:paraId="477E6636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单位净值</w:t>
            </w:r>
          </w:p>
        </w:tc>
        <w:tc>
          <w:tcPr>
            <w:tcW w:w="2107" w:type="dxa"/>
            <w:shd w:val="clear" w:color="000000" w:fill="FFFFFF"/>
            <w:noWrap/>
            <w:vAlign w:val="center"/>
          </w:tcPr>
          <w:p w14:paraId="2374D4D5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日期</w:t>
            </w:r>
          </w:p>
        </w:tc>
      </w:tr>
      <w:tr w14:paraId="7182CB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  <w:jc w:val="center"/>
        </w:trPr>
        <w:tc>
          <w:tcPr>
            <w:tcW w:w="2826" w:type="dxa"/>
            <w:shd w:val="clear" w:color="000000" w:fill="FFFFFF"/>
            <w:noWrap/>
            <w:vAlign w:val="center"/>
          </w:tcPr>
          <w:p w14:paraId="1E98CBBB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“熊猫理财”天添利系列A款净值型理财产品</w:t>
            </w:r>
          </w:p>
        </w:tc>
        <w:tc>
          <w:tcPr>
            <w:tcW w:w="1487" w:type="dxa"/>
            <w:shd w:val="clear" w:color="000000" w:fill="FFFFFF"/>
            <w:noWrap/>
            <w:vAlign w:val="center"/>
          </w:tcPr>
          <w:p w14:paraId="6F9922F2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default" w:ascii="宋体" w:hAnsi="宋体" w:cs="宋体"/>
                <w:color w:val="333333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lang w:val="en-US" w:eastAsia="zh-CN"/>
              </w:rPr>
              <w:t>0.4101</w:t>
            </w:r>
            <w:bookmarkStart w:id="0" w:name="_GoBack"/>
            <w:bookmarkEnd w:id="0"/>
          </w:p>
        </w:tc>
        <w:tc>
          <w:tcPr>
            <w:tcW w:w="1700" w:type="dxa"/>
            <w:shd w:val="clear" w:color="000000" w:fill="FFFFFF"/>
            <w:noWrap/>
            <w:vAlign w:val="center"/>
          </w:tcPr>
          <w:p w14:paraId="34234D2C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  <w:lang w:val="en-US" w:eastAsia="zh-CN"/>
              </w:rPr>
              <w:t>1.47%</w:t>
            </w:r>
          </w:p>
        </w:tc>
        <w:tc>
          <w:tcPr>
            <w:tcW w:w="1664" w:type="dxa"/>
            <w:shd w:val="clear" w:color="000000" w:fill="FFFFFF"/>
            <w:noWrap/>
            <w:vAlign w:val="center"/>
          </w:tcPr>
          <w:p w14:paraId="4CA4353C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</w:rPr>
              <w:t>1.000000</w:t>
            </w:r>
          </w:p>
        </w:tc>
        <w:tc>
          <w:tcPr>
            <w:tcW w:w="2107" w:type="dxa"/>
            <w:shd w:val="clear" w:color="000000" w:fill="FFFFFF"/>
            <w:noWrap/>
            <w:vAlign w:val="center"/>
          </w:tcPr>
          <w:p w14:paraId="0BCB6AD0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202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kern w:val="0"/>
                <w:sz w:val="24"/>
              </w:rPr>
              <w:t>年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9</w:t>
            </w:r>
            <w:r>
              <w:rPr>
                <w:rFonts w:hint="eastAsia" w:ascii="宋体" w:hAnsi="宋体" w:cs="宋体"/>
                <w:kern w:val="0"/>
                <w:sz w:val="24"/>
              </w:rPr>
              <w:t>月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18</w:t>
            </w:r>
            <w:r>
              <w:rPr>
                <w:rFonts w:hint="eastAsia" w:ascii="宋体" w:hAnsi="宋体" w:cs="宋体"/>
                <w:kern w:val="0"/>
                <w:sz w:val="24"/>
              </w:rPr>
              <w:t>日</w:t>
            </w:r>
          </w:p>
        </w:tc>
      </w:tr>
      <w:tr w14:paraId="4B61BE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  <w:jc w:val="center"/>
        </w:trPr>
        <w:tc>
          <w:tcPr>
            <w:tcW w:w="2826" w:type="dxa"/>
            <w:shd w:val="clear" w:color="000000" w:fill="FFFFFF"/>
            <w:noWrap/>
            <w:vAlign w:val="center"/>
          </w:tcPr>
          <w:p w14:paraId="34D995C0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“熊猫理财”天添利系列A款净值型理财产品</w:t>
            </w:r>
          </w:p>
        </w:tc>
        <w:tc>
          <w:tcPr>
            <w:tcW w:w="1487" w:type="dxa"/>
            <w:shd w:val="clear" w:color="000000" w:fill="FFFFFF"/>
            <w:noWrap/>
            <w:vAlign w:val="center"/>
          </w:tcPr>
          <w:p w14:paraId="0DBF002A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default" w:ascii="宋体" w:hAnsi="宋体" w:cs="宋体"/>
                <w:color w:val="333333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lang w:val="en-US" w:eastAsia="zh-CN"/>
              </w:rPr>
              <w:t>0.3187</w:t>
            </w:r>
          </w:p>
        </w:tc>
        <w:tc>
          <w:tcPr>
            <w:tcW w:w="1700" w:type="dxa"/>
            <w:shd w:val="clear" w:color="000000" w:fill="FFFFFF"/>
            <w:noWrap/>
            <w:vAlign w:val="center"/>
          </w:tcPr>
          <w:p w14:paraId="38910619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  <w:lang w:val="en-US" w:eastAsia="zh-CN"/>
              </w:rPr>
              <w:t>1.47%</w:t>
            </w:r>
          </w:p>
        </w:tc>
        <w:tc>
          <w:tcPr>
            <w:tcW w:w="1664" w:type="dxa"/>
            <w:shd w:val="clear" w:color="000000" w:fill="FFFFFF"/>
            <w:noWrap/>
            <w:vAlign w:val="center"/>
          </w:tcPr>
          <w:p w14:paraId="4F18E490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</w:rPr>
              <w:t>1.000000</w:t>
            </w:r>
          </w:p>
        </w:tc>
        <w:tc>
          <w:tcPr>
            <w:tcW w:w="2107" w:type="dxa"/>
            <w:shd w:val="clear" w:color="000000" w:fill="FFFFFF"/>
            <w:noWrap/>
            <w:vAlign w:val="center"/>
          </w:tcPr>
          <w:p w14:paraId="672D036A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202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kern w:val="0"/>
                <w:sz w:val="24"/>
              </w:rPr>
              <w:t>年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9</w:t>
            </w:r>
            <w:r>
              <w:rPr>
                <w:rFonts w:hint="eastAsia" w:ascii="宋体" w:hAnsi="宋体" w:cs="宋体"/>
                <w:kern w:val="0"/>
                <w:sz w:val="24"/>
              </w:rPr>
              <w:t>月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19</w:t>
            </w:r>
            <w:r>
              <w:rPr>
                <w:rFonts w:hint="eastAsia" w:ascii="宋体" w:hAnsi="宋体" w:cs="宋体"/>
                <w:kern w:val="0"/>
                <w:sz w:val="24"/>
              </w:rPr>
              <w:t>日</w:t>
            </w:r>
          </w:p>
        </w:tc>
      </w:tr>
      <w:tr w14:paraId="407E70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  <w:jc w:val="center"/>
        </w:trPr>
        <w:tc>
          <w:tcPr>
            <w:tcW w:w="2826" w:type="dxa"/>
            <w:shd w:val="clear" w:color="000000" w:fill="FFFFFF"/>
            <w:noWrap/>
            <w:vAlign w:val="center"/>
          </w:tcPr>
          <w:p w14:paraId="1924B468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“熊猫理财”天添利系列A款净值型理财产品</w:t>
            </w:r>
          </w:p>
        </w:tc>
        <w:tc>
          <w:tcPr>
            <w:tcW w:w="1487" w:type="dxa"/>
            <w:shd w:val="clear" w:color="000000" w:fill="FFFFFF"/>
            <w:noWrap/>
            <w:vAlign w:val="center"/>
          </w:tcPr>
          <w:p w14:paraId="7A28A719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default" w:ascii="宋体" w:hAnsi="宋体" w:cs="宋体"/>
                <w:color w:val="333333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lang w:val="en-US" w:eastAsia="zh-CN"/>
              </w:rPr>
              <w:t>0.3187</w:t>
            </w:r>
          </w:p>
        </w:tc>
        <w:tc>
          <w:tcPr>
            <w:tcW w:w="1700" w:type="dxa"/>
            <w:shd w:val="clear" w:color="000000" w:fill="FFFFFF"/>
            <w:noWrap/>
            <w:vAlign w:val="center"/>
          </w:tcPr>
          <w:p w14:paraId="241254BD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  <w:lang w:val="en-US" w:eastAsia="zh-CN"/>
              </w:rPr>
              <w:t>1.47%</w:t>
            </w:r>
          </w:p>
        </w:tc>
        <w:tc>
          <w:tcPr>
            <w:tcW w:w="1664" w:type="dxa"/>
            <w:shd w:val="clear" w:color="000000" w:fill="FFFFFF"/>
            <w:noWrap/>
            <w:vAlign w:val="center"/>
          </w:tcPr>
          <w:p w14:paraId="72CC2577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</w:rPr>
              <w:t>1.000000</w:t>
            </w:r>
          </w:p>
        </w:tc>
        <w:tc>
          <w:tcPr>
            <w:tcW w:w="2107" w:type="dxa"/>
            <w:shd w:val="clear" w:color="000000" w:fill="FFFFFF"/>
            <w:noWrap/>
            <w:vAlign w:val="center"/>
          </w:tcPr>
          <w:p w14:paraId="235758C2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202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kern w:val="0"/>
                <w:sz w:val="24"/>
              </w:rPr>
              <w:t>年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9</w:t>
            </w:r>
            <w:r>
              <w:rPr>
                <w:rFonts w:hint="eastAsia" w:ascii="宋体" w:hAnsi="宋体" w:cs="宋体"/>
                <w:kern w:val="0"/>
                <w:sz w:val="24"/>
              </w:rPr>
              <w:t>月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20</w:t>
            </w:r>
            <w:r>
              <w:rPr>
                <w:rFonts w:hint="eastAsia" w:ascii="宋体" w:hAnsi="宋体" w:cs="宋体"/>
                <w:kern w:val="0"/>
                <w:sz w:val="24"/>
              </w:rPr>
              <w:t>日</w:t>
            </w:r>
          </w:p>
        </w:tc>
      </w:tr>
    </w:tbl>
    <w:p w14:paraId="1F936C70">
      <w:pPr>
        <w:adjustRightInd w:val="0"/>
        <w:spacing w:before="156" w:beforeLines="50" w:after="156" w:afterLines="50" w:line="340" w:lineRule="exact"/>
        <w:ind w:firstLine="480" w:firstLineChars="200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以上万份收益已扣除相关费用。净值型理财产品无预期年化收益率，实际盈亏视产品投资资产价值波动情况而定，欢迎咨询及购买。</w:t>
      </w:r>
    </w:p>
    <w:p w14:paraId="791173FA">
      <w:pPr>
        <w:adjustRightInd w:val="0"/>
        <w:spacing w:before="156" w:beforeLines="50" w:after="156" w:afterLines="50" w:line="340" w:lineRule="exact"/>
        <w:ind w:firstLine="480" w:firstLineChars="200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感谢您一直以来对四川天府银行的信赖与支持！</w:t>
      </w:r>
    </w:p>
    <w:p w14:paraId="02B3D794">
      <w:pPr>
        <w:tabs>
          <w:tab w:val="left" w:pos="3369"/>
        </w:tabs>
        <w:adjustRightInd w:val="0"/>
        <w:spacing w:before="156" w:beforeLines="50" w:after="156" w:afterLines="50" w:line="340" w:lineRule="exact"/>
        <w:ind w:firstLine="480" w:firstLineChars="200"/>
        <w:jc w:val="left"/>
        <w:rPr>
          <w:rFonts w:hint="eastAsia" w:ascii="宋体" w:hAnsi="宋体" w:eastAsia="宋体" w:cs="宋体"/>
          <w:kern w:val="0"/>
          <w:sz w:val="24"/>
          <w:lang w:eastAsia="zh-CN"/>
        </w:rPr>
      </w:pPr>
      <w:r>
        <w:rPr>
          <w:rFonts w:hint="eastAsia" w:ascii="宋体" w:hAnsi="宋体" w:cs="宋体"/>
          <w:kern w:val="0"/>
          <w:sz w:val="24"/>
        </w:rPr>
        <w:t>特此</w:t>
      </w:r>
      <w:r>
        <w:rPr>
          <w:rFonts w:hint="eastAsia" w:ascii="宋体" w:hAnsi="宋体" w:cs="宋体"/>
          <w:kern w:val="0"/>
          <w:sz w:val="24"/>
          <w:lang w:eastAsia="zh-CN"/>
        </w:rPr>
        <w:t>公</w:t>
      </w:r>
      <w:r>
        <w:rPr>
          <w:rFonts w:hint="eastAsia" w:ascii="宋体" w:hAnsi="宋体" w:cs="宋体"/>
          <w:kern w:val="0"/>
          <w:sz w:val="24"/>
        </w:rPr>
        <w:t>告。</w:t>
      </w:r>
      <w:r>
        <w:rPr>
          <w:rFonts w:hint="eastAsia" w:ascii="宋体" w:hAnsi="宋体" w:cs="宋体"/>
          <w:kern w:val="0"/>
          <w:sz w:val="24"/>
          <w:lang w:eastAsia="zh-CN"/>
        </w:rPr>
        <w:tab/>
      </w:r>
    </w:p>
    <w:p w14:paraId="55EEF1F2">
      <w:pPr>
        <w:adjustRightInd w:val="0"/>
        <w:spacing w:before="156" w:beforeLines="50" w:after="156" w:afterLines="50" w:line="340" w:lineRule="exact"/>
        <w:ind w:firstLine="480" w:firstLineChars="200"/>
        <w:jc w:val="left"/>
        <w:rPr>
          <w:rFonts w:ascii="宋体" w:hAnsi="宋体" w:cs="宋体"/>
          <w:kern w:val="0"/>
          <w:sz w:val="24"/>
        </w:rPr>
      </w:pPr>
    </w:p>
    <w:p w14:paraId="70E3F12E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  <w:lang w:val="en-US" w:eastAsia="zh-CN"/>
        </w:rPr>
        <w:t xml:space="preserve"> </w:t>
      </w:r>
      <w:r>
        <w:rPr>
          <w:rFonts w:hint="eastAsia" w:ascii="宋体" w:hAnsi="宋体" w:cs="宋体"/>
          <w:kern w:val="0"/>
          <w:sz w:val="24"/>
        </w:rPr>
        <w:t>四川天府银行股份有限公司</w:t>
      </w:r>
    </w:p>
    <w:p w14:paraId="3CC04735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202</w:t>
      </w:r>
      <w:r>
        <w:rPr>
          <w:rFonts w:hint="eastAsia" w:ascii="宋体" w:hAnsi="宋体" w:cs="宋体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sz w:val="24"/>
          <w:szCs w:val="24"/>
        </w:rPr>
        <w:t>年</w:t>
      </w:r>
      <w:r>
        <w:rPr>
          <w:rFonts w:hint="eastAsia" w:ascii="宋体" w:hAnsi="宋体" w:cs="宋体"/>
          <w:sz w:val="24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sz w:val="24"/>
          <w:szCs w:val="24"/>
        </w:rPr>
        <w:t>月</w:t>
      </w:r>
      <w:r>
        <w:rPr>
          <w:rFonts w:hint="eastAsia" w:ascii="宋体" w:hAnsi="宋体" w:cs="宋体"/>
          <w:sz w:val="24"/>
          <w:szCs w:val="24"/>
          <w:lang w:val="en-US" w:eastAsia="zh-CN"/>
        </w:rPr>
        <w:t>21</w:t>
      </w:r>
      <w:r>
        <w:rPr>
          <w:rFonts w:hint="eastAsia" w:ascii="宋体" w:hAnsi="宋体" w:eastAsia="宋体" w:cs="宋体"/>
          <w:sz w:val="24"/>
          <w:szCs w:val="24"/>
        </w:rPr>
        <w:t>日</w:t>
      </w:r>
    </w:p>
    <w:p w14:paraId="0731CCEC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42849B06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0EAF3F2D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30481172">
      <w:pPr>
        <w:tabs>
          <w:tab w:val="left" w:pos="3041"/>
        </w:tabs>
        <w:rPr>
          <w:rFonts w:hint="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AF0E9E"/>
    <w:rsid w:val="00F7789C"/>
    <w:rsid w:val="02434D77"/>
    <w:rsid w:val="02E47A9D"/>
    <w:rsid w:val="038D19B4"/>
    <w:rsid w:val="03E956EF"/>
    <w:rsid w:val="04460A49"/>
    <w:rsid w:val="048F3C49"/>
    <w:rsid w:val="04C47E05"/>
    <w:rsid w:val="05350F95"/>
    <w:rsid w:val="05B8474A"/>
    <w:rsid w:val="05FA638E"/>
    <w:rsid w:val="060A1A07"/>
    <w:rsid w:val="06305D4D"/>
    <w:rsid w:val="063835A9"/>
    <w:rsid w:val="06930BB8"/>
    <w:rsid w:val="06A55631"/>
    <w:rsid w:val="07C06FD8"/>
    <w:rsid w:val="07FD04B5"/>
    <w:rsid w:val="09EC1679"/>
    <w:rsid w:val="0A7F3E5C"/>
    <w:rsid w:val="0AA921B8"/>
    <w:rsid w:val="0AFA3677"/>
    <w:rsid w:val="0BE71672"/>
    <w:rsid w:val="0DF860D1"/>
    <w:rsid w:val="0ECD7E97"/>
    <w:rsid w:val="0F9608F4"/>
    <w:rsid w:val="0FBF09E3"/>
    <w:rsid w:val="103656C0"/>
    <w:rsid w:val="105B152C"/>
    <w:rsid w:val="10807F00"/>
    <w:rsid w:val="10A021C7"/>
    <w:rsid w:val="10A56D0D"/>
    <w:rsid w:val="11C03278"/>
    <w:rsid w:val="11F666AC"/>
    <w:rsid w:val="140103F3"/>
    <w:rsid w:val="15BD30EC"/>
    <w:rsid w:val="160B1CBF"/>
    <w:rsid w:val="16502495"/>
    <w:rsid w:val="169110AE"/>
    <w:rsid w:val="16F87C8C"/>
    <w:rsid w:val="17377BBB"/>
    <w:rsid w:val="18583D01"/>
    <w:rsid w:val="1A066BDE"/>
    <w:rsid w:val="1A202F15"/>
    <w:rsid w:val="1B497629"/>
    <w:rsid w:val="1B7134F4"/>
    <w:rsid w:val="1BA04F2F"/>
    <w:rsid w:val="1C060974"/>
    <w:rsid w:val="1C4A4D75"/>
    <w:rsid w:val="1C805BA9"/>
    <w:rsid w:val="1D2965AB"/>
    <w:rsid w:val="1D356105"/>
    <w:rsid w:val="1D5F5C67"/>
    <w:rsid w:val="1EBB1D18"/>
    <w:rsid w:val="20355419"/>
    <w:rsid w:val="209D1014"/>
    <w:rsid w:val="216F65FD"/>
    <w:rsid w:val="21AE2619"/>
    <w:rsid w:val="22244147"/>
    <w:rsid w:val="223C1643"/>
    <w:rsid w:val="232C399F"/>
    <w:rsid w:val="23681E5F"/>
    <w:rsid w:val="23C828E1"/>
    <w:rsid w:val="2420490B"/>
    <w:rsid w:val="24271AB7"/>
    <w:rsid w:val="2564281F"/>
    <w:rsid w:val="2572053A"/>
    <w:rsid w:val="25EE317E"/>
    <w:rsid w:val="260624C9"/>
    <w:rsid w:val="262D01FE"/>
    <w:rsid w:val="26385C7E"/>
    <w:rsid w:val="26426C94"/>
    <w:rsid w:val="26F735F9"/>
    <w:rsid w:val="273D3E50"/>
    <w:rsid w:val="278F3378"/>
    <w:rsid w:val="27B204FB"/>
    <w:rsid w:val="28E72441"/>
    <w:rsid w:val="29D6198B"/>
    <w:rsid w:val="2AD256CA"/>
    <w:rsid w:val="2B325A8D"/>
    <w:rsid w:val="2B874E51"/>
    <w:rsid w:val="2BEA29FF"/>
    <w:rsid w:val="2CE97FB8"/>
    <w:rsid w:val="2D726D56"/>
    <w:rsid w:val="2E560C49"/>
    <w:rsid w:val="2F89790B"/>
    <w:rsid w:val="2FE547A2"/>
    <w:rsid w:val="328B2BFD"/>
    <w:rsid w:val="32C82CB1"/>
    <w:rsid w:val="33CE3458"/>
    <w:rsid w:val="33CF0DAE"/>
    <w:rsid w:val="33EB781F"/>
    <w:rsid w:val="341F30C2"/>
    <w:rsid w:val="34612F8E"/>
    <w:rsid w:val="34721905"/>
    <w:rsid w:val="35085409"/>
    <w:rsid w:val="355A0B2E"/>
    <w:rsid w:val="364779D0"/>
    <w:rsid w:val="364E5F60"/>
    <w:rsid w:val="36B77FD3"/>
    <w:rsid w:val="36E94025"/>
    <w:rsid w:val="36F0632A"/>
    <w:rsid w:val="3703123A"/>
    <w:rsid w:val="37D25AB8"/>
    <w:rsid w:val="38854BBC"/>
    <w:rsid w:val="39D73000"/>
    <w:rsid w:val="39E66BCC"/>
    <w:rsid w:val="39ED45B8"/>
    <w:rsid w:val="3B775955"/>
    <w:rsid w:val="3BFA13B9"/>
    <w:rsid w:val="3BFF627B"/>
    <w:rsid w:val="3CF004B4"/>
    <w:rsid w:val="3D016DE5"/>
    <w:rsid w:val="3E2B24CF"/>
    <w:rsid w:val="3E814EB8"/>
    <w:rsid w:val="3F586EE7"/>
    <w:rsid w:val="40F56D04"/>
    <w:rsid w:val="411D65B0"/>
    <w:rsid w:val="42D833DF"/>
    <w:rsid w:val="43215A46"/>
    <w:rsid w:val="434E17EE"/>
    <w:rsid w:val="43A62E3D"/>
    <w:rsid w:val="43F80BB2"/>
    <w:rsid w:val="44600C4F"/>
    <w:rsid w:val="451607F3"/>
    <w:rsid w:val="45D31483"/>
    <w:rsid w:val="46751E2D"/>
    <w:rsid w:val="46D20CA3"/>
    <w:rsid w:val="473C7CB7"/>
    <w:rsid w:val="478B25F6"/>
    <w:rsid w:val="4804352A"/>
    <w:rsid w:val="48AC4CDC"/>
    <w:rsid w:val="49082AA6"/>
    <w:rsid w:val="49F7576A"/>
    <w:rsid w:val="4AAE3FBF"/>
    <w:rsid w:val="4AFC2AEC"/>
    <w:rsid w:val="4B0223A5"/>
    <w:rsid w:val="4B69758C"/>
    <w:rsid w:val="4C7B2090"/>
    <w:rsid w:val="4CBD3DDD"/>
    <w:rsid w:val="4CDE4C9F"/>
    <w:rsid w:val="4D413C79"/>
    <w:rsid w:val="4D99668C"/>
    <w:rsid w:val="4F6D2B77"/>
    <w:rsid w:val="4F88515B"/>
    <w:rsid w:val="50A50DB2"/>
    <w:rsid w:val="532225AC"/>
    <w:rsid w:val="53A56748"/>
    <w:rsid w:val="55E9254F"/>
    <w:rsid w:val="59467A50"/>
    <w:rsid w:val="597064B6"/>
    <w:rsid w:val="59C7084F"/>
    <w:rsid w:val="59FD4C5D"/>
    <w:rsid w:val="5A20604C"/>
    <w:rsid w:val="5A3B5997"/>
    <w:rsid w:val="5AA31EC3"/>
    <w:rsid w:val="5B453FBD"/>
    <w:rsid w:val="5BD95187"/>
    <w:rsid w:val="5BED1138"/>
    <w:rsid w:val="5C8A3658"/>
    <w:rsid w:val="5CEF24DB"/>
    <w:rsid w:val="5D066FB3"/>
    <w:rsid w:val="5DD713FD"/>
    <w:rsid w:val="5E0D279E"/>
    <w:rsid w:val="5E492AC1"/>
    <w:rsid w:val="5F6019E1"/>
    <w:rsid w:val="5F871F5C"/>
    <w:rsid w:val="5F9C1C33"/>
    <w:rsid w:val="6101113A"/>
    <w:rsid w:val="623D7E4B"/>
    <w:rsid w:val="62C844C3"/>
    <w:rsid w:val="63AD7175"/>
    <w:rsid w:val="648A129A"/>
    <w:rsid w:val="65136161"/>
    <w:rsid w:val="66EC32BA"/>
    <w:rsid w:val="674940AC"/>
    <w:rsid w:val="678B0B48"/>
    <w:rsid w:val="68087D1C"/>
    <w:rsid w:val="681E159A"/>
    <w:rsid w:val="684269AD"/>
    <w:rsid w:val="68CC13AD"/>
    <w:rsid w:val="691C0C12"/>
    <w:rsid w:val="6A044D5B"/>
    <w:rsid w:val="6B6C3830"/>
    <w:rsid w:val="6C9C2D1E"/>
    <w:rsid w:val="6D256808"/>
    <w:rsid w:val="6D6C4F23"/>
    <w:rsid w:val="6D877A0D"/>
    <w:rsid w:val="6EA01ADD"/>
    <w:rsid w:val="70CE514A"/>
    <w:rsid w:val="71B8110E"/>
    <w:rsid w:val="7262427B"/>
    <w:rsid w:val="72AE083C"/>
    <w:rsid w:val="737351D0"/>
    <w:rsid w:val="749D37E1"/>
    <w:rsid w:val="758A1423"/>
    <w:rsid w:val="75C3766D"/>
    <w:rsid w:val="75E27EEC"/>
    <w:rsid w:val="76927AC4"/>
    <w:rsid w:val="76B136BB"/>
    <w:rsid w:val="76C755B7"/>
    <w:rsid w:val="776647F5"/>
    <w:rsid w:val="77B01986"/>
    <w:rsid w:val="780006DF"/>
    <w:rsid w:val="78CF7283"/>
    <w:rsid w:val="78F22E4D"/>
    <w:rsid w:val="79083076"/>
    <w:rsid w:val="79A22EF9"/>
    <w:rsid w:val="7A4A3119"/>
    <w:rsid w:val="7BEC6AE8"/>
    <w:rsid w:val="7BF3229B"/>
    <w:rsid w:val="7C183D10"/>
    <w:rsid w:val="7E594DA8"/>
    <w:rsid w:val="7E7750A1"/>
    <w:rsid w:val="7E7B6E21"/>
    <w:rsid w:val="7EA83249"/>
    <w:rsid w:val="7F6E7BCB"/>
    <w:rsid w:val="7F840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  <w:color w:val="FFFFFF"/>
      <w:sz w:val="18"/>
      <w:szCs w:val="18"/>
      <w:shd w:val="clear" w:fill="777777"/>
      <w:vertAlign w:val="baseline"/>
    </w:rPr>
  </w:style>
  <w:style w:type="character" w:styleId="6">
    <w:name w:val="FollowedHyperlink"/>
    <w:basedOn w:val="4"/>
    <w:qFormat/>
    <w:uiPriority w:val="0"/>
    <w:rPr>
      <w:color w:val="337AB7"/>
      <w:u w:val="none"/>
    </w:rPr>
  </w:style>
  <w:style w:type="character" w:styleId="7">
    <w:name w:val="HTML Definition"/>
    <w:basedOn w:val="4"/>
    <w:qFormat/>
    <w:uiPriority w:val="0"/>
    <w:rPr>
      <w:i/>
    </w:rPr>
  </w:style>
  <w:style w:type="character" w:styleId="8">
    <w:name w:val="Hyperlink"/>
    <w:basedOn w:val="4"/>
    <w:qFormat/>
    <w:uiPriority w:val="0"/>
    <w:rPr>
      <w:color w:val="337AB7"/>
      <w:u w:val="none"/>
    </w:rPr>
  </w:style>
  <w:style w:type="character" w:styleId="9">
    <w:name w:val="HTML Code"/>
    <w:basedOn w:val="4"/>
    <w:qFormat/>
    <w:uiPriority w:val="0"/>
    <w:rPr>
      <w:rFonts w:ascii="monospace" w:hAnsi="monospace" w:eastAsia="monospace" w:cs="monospace"/>
      <w:color w:val="C7254E"/>
      <w:sz w:val="21"/>
      <w:szCs w:val="21"/>
      <w:shd w:val="clear" w:fill="F9F2F4"/>
    </w:rPr>
  </w:style>
  <w:style w:type="character" w:styleId="10">
    <w:name w:val="HTML Keyboard"/>
    <w:basedOn w:val="4"/>
    <w:qFormat/>
    <w:uiPriority w:val="0"/>
    <w:rPr>
      <w:rFonts w:hint="default" w:ascii="monospace" w:hAnsi="monospace" w:eastAsia="monospace" w:cs="monospace"/>
      <w:color w:val="FFFFFF"/>
      <w:sz w:val="21"/>
      <w:szCs w:val="21"/>
      <w:shd w:val="clear" w:fill="333333"/>
    </w:rPr>
  </w:style>
  <w:style w:type="character" w:styleId="11">
    <w:name w:val="HTML Sample"/>
    <w:basedOn w:val="4"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customStyle="1" w:styleId="12">
    <w:name w:val="sort"/>
    <w:basedOn w:val="4"/>
    <w:qFormat/>
    <w:uiPriority w:val="0"/>
    <w:rPr>
      <w:color w:val="CCCCCC"/>
      <w:sz w:val="18"/>
      <w:szCs w:val="18"/>
    </w:rPr>
  </w:style>
  <w:style w:type="character" w:customStyle="1" w:styleId="13">
    <w:name w:val="sort1"/>
    <w:basedOn w:val="4"/>
    <w:qFormat/>
    <w:uiPriority w:val="0"/>
    <w:rPr>
      <w:color w:val="5BC0DE"/>
    </w:rPr>
  </w:style>
  <w:style w:type="character" w:customStyle="1" w:styleId="14">
    <w:name w:val="sort2"/>
    <w:basedOn w:val="4"/>
    <w:qFormat/>
    <w:uiPriority w:val="0"/>
    <w:rPr>
      <w:color w:val="CCCCCC"/>
      <w:sz w:val="18"/>
      <w:szCs w:val="18"/>
    </w:rPr>
  </w:style>
  <w:style w:type="character" w:customStyle="1" w:styleId="15">
    <w:name w:val="hover1"/>
    <w:basedOn w:val="4"/>
    <w:qFormat/>
    <w:uiPriority w:val="0"/>
    <w:rPr>
      <w:color w:val="FFFFFF"/>
    </w:rPr>
  </w:style>
  <w:style w:type="character" w:customStyle="1" w:styleId="16">
    <w:name w:val="hover2"/>
    <w:basedOn w:val="4"/>
    <w:qFormat/>
    <w:uiPriority w:val="0"/>
    <w:rPr>
      <w:color w:val="5FB878"/>
    </w:rPr>
  </w:style>
  <w:style w:type="character" w:customStyle="1" w:styleId="17">
    <w:name w:val="hover3"/>
    <w:basedOn w:val="4"/>
    <w:qFormat/>
    <w:uiPriority w:val="0"/>
    <w:rPr>
      <w:shd w:val="clear" w:fill="EEEEEE"/>
    </w:rPr>
  </w:style>
  <w:style w:type="character" w:customStyle="1" w:styleId="18">
    <w:name w:val="hover4"/>
    <w:basedOn w:val="4"/>
    <w:qFormat/>
    <w:uiPriority w:val="0"/>
    <w:rPr>
      <w:color w:val="5FB878"/>
    </w:rPr>
  </w:style>
  <w:style w:type="character" w:customStyle="1" w:styleId="19">
    <w:name w:val="old"/>
    <w:basedOn w:val="4"/>
    <w:qFormat/>
    <w:uiPriority w:val="0"/>
    <w:rPr>
      <w:color w:val="999999"/>
    </w:rPr>
  </w:style>
  <w:style w:type="character" w:customStyle="1" w:styleId="20">
    <w:name w:val="new"/>
    <w:basedOn w:val="4"/>
    <w:qFormat/>
    <w:uiPriority w:val="0"/>
    <w:rPr>
      <w:color w:val="999999"/>
    </w:rPr>
  </w:style>
  <w:style w:type="character" w:customStyle="1" w:styleId="21">
    <w:name w:val="k-down-arrow"/>
    <w:basedOn w:val="4"/>
    <w:qFormat/>
    <w:uiPriority w:val="0"/>
  </w:style>
  <w:style w:type="character" w:customStyle="1" w:styleId="22">
    <w:name w:val="money-string"/>
    <w:basedOn w:val="4"/>
    <w:qFormat/>
    <w:uiPriority w:val="0"/>
    <w:rPr>
      <w:b/>
    </w:rPr>
  </w:style>
  <w:style w:type="character" w:customStyle="1" w:styleId="23">
    <w:name w:val="badge17"/>
    <w:basedOn w:val="4"/>
    <w:qFormat/>
    <w:uiPriority w:val="0"/>
    <w:rPr>
      <w:sz w:val="15"/>
      <w:szCs w:val="15"/>
    </w:rPr>
  </w:style>
  <w:style w:type="character" w:customStyle="1" w:styleId="24">
    <w:name w:val="badge18"/>
    <w:basedOn w:val="4"/>
    <w:qFormat/>
    <w:uiPriority w:val="0"/>
    <w:rPr>
      <w:sz w:val="15"/>
      <w:szCs w:val="15"/>
    </w:rPr>
  </w:style>
  <w:style w:type="character" w:customStyle="1" w:styleId="25">
    <w:name w:val="hover"/>
    <w:basedOn w:val="4"/>
    <w:qFormat/>
    <w:uiPriority w:val="0"/>
    <w:rPr>
      <w:shd w:val="clear" w:fill="EEEEE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Office_12.8.2.21549_F1E327BC-269C-435d-A152-05C5408002CA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2024-04-11T06:33:00Z</dcterms:created>
  <dc:creator>user</dc:creator>
  <cp:lastModifiedBy> </cp:lastModifiedBy>
  <dcterms:modified xsi:type="dcterms:W3CDTF">2026-09-21T02:26:28Z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2052-12.8.2.21549</vt:lpwstr>
  </property>
  <property fmtid="{D5CDD505-2E9C-101B-9397-08002B2CF9AE}" pid="3" name="ICV">
    <vt:lpwstr>3710803875EE4DFE8F24CEE3B277B432</vt:lpwstr>
  </property>
</Properties>
</file>