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AF6D0F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“熊猫理财”天添利系列A款净值型</w:t>
      </w:r>
    </w:p>
    <w:p w14:paraId="2801F3E1">
      <w:pPr>
        <w:adjustRightInd w:val="0"/>
        <w:spacing w:before="156" w:beforeLines="50" w:after="156" w:afterLines="50" w:line="340" w:lineRule="exact"/>
        <w:jc w:val="center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>理财产品运行</w:t>
      </w:r>
      <w:r>
        <w:rPr>
          <w:rFonts w:hint="eastAsia" w:ascii="宋体" w:hAnsi="宋体" w:cs="宋体"/>
          <w:b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b/>
          <w:kern w:val="0"/>
          <w:sz w:val="24"/>
        </w:rPr>
        <w:t>告</w:t>
      </w:r>
    </w:p>
    <w:p w14:paraId="3B7D2B92">
      <w:pPr>
        <w:adjustRightInd w:val="0"/>
        <w:spacing w:before="156" w:beforeLines="50" w:after="156" w:afterLines="50" w:line="340" w:lineRule="exact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尊敬的客户：</w:t>
      </w:r>
    </w:p>
    <w:p w14:paraId="3875172F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我行“熊猫理财”天添利系列A款净值型理财产品截至202</w:t>
      </w:r>
      <w:r>
        <w:rPr>
          <w:rFonts w:hint="eastAsia" w:ascii="宋体" w:hAnsi="宋体" w:cs="宋体"/>
          <w:kern w:val="0"/>
          <w:sz w:val="24"/>
          <w:lang w:val="en-US" w:eastAsia="zh-CN"/>
        </w:rPr>
        <w:t>6</w:t>
      </w:r>
      <w:r>
        <w:rPr>
          <w:rFonts w:hint="eastAsia" w:ascii="宋体" w:hAnsi="宋体" w:cs="宋体"/>
          <w:kern w:val="0"/>
          <w:sz w:val="24"/>
        </w:rPr>
        <w:t>年</w:t>
      </w:r>
      <w:r>
        <w:rPr>
          <w:rFonts w:hint="eastAsia" w:ascii="宋体" w:hAnsi="宋体" w:cs="宋体"/>
          <w:kern w:val="0"/>
          <w:sz w:val="24"/>
          <w:lang w:val="en-US" w:eastAsia="zh-CN"/>
        </w:rPr>
        <w:t>9</w:t>
      </w:r>
      <w:r>
        <w:rPr>
          <w:rFonts w:hint="eastAsia" w:ascii="宋体" w:hAnsi="宋体" w:cs="宋体"/>
          <w:kern w:val="0"/>
          <w:sz w:val="24"/>
        </w:rPr>
        <w:t>月</w:t>
      </w:r>
      <w:r>
        <w:rPr>
          <w:rFonts w:hint="eastAsia" w:ascii="宋体" w:hAnsi="宋体" w:cs="宋体"/>
          <w:kern w:val="0"/>
          <w:sz w:val="24"/>
          <w:lang w:val="en-US" w:eastAsia="zh-CN"/>
        </w:rPr>
        <w:t>1</w:t>
      </w:r>
      <w:r>
        <w:rPr>
          <w:rFonts w:hint="eastAsia" w:ascii="宋体" w:hAnsi="宋体" w:cs="宋体"/>
          <w:kern w:val="0"/>
          <w:sz w:val="24"/>
        </w:rPr>
        <w:t>日万份收益情况如下：</w:t>
      </w:r>
    </w:p>
    <w:tbl>
      <w:tblPr>
        <w:tblStyle w:val="2"/>
        <w:tblW w:w="9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6"/>
        <w:gridCol w:w="1487"/>
        <w:gridCol w:w="1700"/>
        <w:gridCol w:w="1664"/>
        <w:gridCol w:w="2107"/>
      </w:tblGrid>
      <w:tr w14:paraId="2CD56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2CED79E2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产品名称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0184FE5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万份收益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6F7F698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近七日年化</w:t>
            </w:r>
          </w:p>
          <w:p w14:paraId="1A03ECE0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收益率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477E6636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单位净值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2374D4D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日期</w:t>
            </w:r>
          </w:p>
        </w:tc>
      </w:tr>
      <w:tr w14:paraId="5E6DC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826" w:type="dxa"/>
            <w:shd w:val="clear" w:color="000000" w:fill="FFFFFF"/>
            <w:noWrap/>
            <w:vAlign w:val="center"/>
          </w:tcPr>
          <w:p w14:paraId="3E12F395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</w:rPr>
              <w:t>“熊猫理财”天添利系列A款净值型理财产品</w:t>
            </w:r>
          </w:p>
        </w:tc>
        <w:tc>
          <w:tcPr>
            <w:tcW w:w="1487" w:type="dxa"/>
            <w:shd w:val="clear" w:color="000000" w:fill="FFFFFF"/>
            <w:noWrap/>
            <w:vAlign w:val="center"/>
          </w:tcPr>
          <w:p w14:paraId="5E53EBA7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0.</w:t>
            </w:r>
            <w:r>
              <w:rPr>
                <w:rFonts w:hint="eastAsia" w:ascii="宋体" w:hAnsi="宋体" w:cs="宋体"/>
                <w:color w:val="333333"/>
                <w:kern w:val="0"/>
                <w:sz w:val="24"/>
                <w:szCs w:val="24"/>
                <w:highlight w:val="none"/>
                <w:lang w:val="en-US" w:eastAsia="zh-CN" w:bidi="ar-SA"/>
              </w:rPr>
              <w:t>5714</w:t>
            </w:r>
          </w:p>
        </w:tc>
        <w:tc>
          <w:tcPr>
            <w:tcW w:w="1700" w:type="dxa"/>
            <w:shd w:val="clear" w:color="000000" w:fill="FFFFFF"/>
            <w:noWrap/>
            <w:vAlign w:val="center"/>
          </w:tcPr>
          <w:p w14:paraId="032E63F9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  <w:lang w:val="en-US" w:eastAsia="zh-CN"/>
              </w:rPr>
              <w:t>1.46%</w:t>
            </w:r>
          </w:p>
        </w:tc>
        <w:tc>
          <w:tcPr>
            <w:tcW w:w="1664" w:type="dxa"/>
            <w:shd w:val="clear" w:color="000000" w:fill="FFFFFF"/>
            <w:noWrap/>
            <w:vAlign w:val="center"/>
          </w:tcPr>
          <w:p w14:paraId="2D1E66C1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333333"/>
                <w:kern w:val="0"/>
                <w:sz w:val="24"/>
                <w:highlight w:val="none"/>
              </w:rPr>
              <w:t>1.000000</w:t>
            </w:r>
          </w:p>
        </w:tc>
        <w:tc>
          <w:tcPr>
            <w:tcW w:w="2107" w:type="dxa"/>
            <w:shd w:val="clear" w:color="000000" w:fill="FFFFFF"/>
            <w:noWrap/>
            <w:vAlign w:val="center"/>
          </w:tcPr>
          <w:p w14:paraId="10A335AD">
            <w:pPr>
              <w:widowControl/>
              <w:adjustRightInd w:val="0"/>
              <w:spacing w:before="31" w:beforeLines="10" w:after="31" w:afterLines="10" w:line="340" w:lineRule="exac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202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kern w:val="0"/>
                <w:sz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9</w:t>
            </w:r>
            <w:r>
              <w:rPr>
                <w:rFonts w:hint="eastAsia" w:ascii="宋体" w:hAnsi="宋体" w:cs="宋体"/>
                <w:kern w:val="0"/>
                <w:sz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kern w:val="0"/>
                <w:sz w:val="24"/>
              </w:rPr>
              <w:t>日</w:t>
            </w:r>
          </w:p>
        </w:tc>
      </w:tr>
    </w:tbl>
    <w:p w14:paraId="1F936C70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以上万份收益已扣除相关费用。净值型理财产品无预期年化收益率，实际盈亏视产品投资资产价值波动情况而定，欢迎咨询及购买。</w:t>
      </w:r>
    </w:p>
    <w:p w14:paraId="791173FA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感谢您一直以来对四川天府银行的信赖与支持！</w:t>
      </w:r>
    </w:p>
    <w:p w14:paraId="02B3D794">
      <w:pPr>
        <w:tabs>
          <w:tab w:val="left" w:pos="3369"/>
        </w:tabs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特此</w:t>
      </w:r>
      <w:r>
        <w:rPr>
          <w:rFonts w:hint="eastAsia" w:ascii="宋体" w:hAnsi="宋体" w:cs="宋体"/>
          <w:kern w:val="0"/>
          <w:sz w:val="24"/>
          <w:lang w:eastAsia="zh-CN"/>
        </w:rPr>
        <w:t>公</w:t>
      </w:r>
      <w:r>
        <w:rPr>
          <w:rFonts w:hint="eastAsia" w:ascii="宋体" w:hAnsi="宋体" w:cs="宋体"/>
          <w:kern w:val="0"/>
          <w:sz w:val="24"/>
        </w:rPr>
        <w:t>告。</w:t>
      </w:r>
      <w:r>
        <w:rPr>
          <w:rFonts w:hint="eastAsia" w:ascii="宋体" w:hAnsi="宋体" w:cs="宋体"/>
          <w:kern w:val="0"/>
          <w:sz w:val="24"/>
          <w:lang w:eastAsia="zh-CN"/>
        </w:rPr>
        <w:tab/>
      </w:r>
    </w:p>
    <w:p w14:paraId="55EEF1F2">
      <w:pPr>
        <w:adjustRightInd w:val="0"/>
        <w:spacing w:before="156" w:beforeLines="50" w:after="156" w:afterLines="50" w:line="340" w:lineRule="exact"/>
        <w:ind w:firstLine="480" w:firstLineChars="200"/>
        <w:jc w:val="left"/>
        <w:rPr>
          <w:rFonts w:ascii="宋体" w:hAnsi="宋体" w:cs="宋体"/>
          <w:kern w:val="0"/>
          <w:sz w:val="24"/>
        </w:rPr>
      </w:pPr>
    </w:p>
    <w:p w14:paraId="70E3F12E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ascii="宋体" w:hAnsi="宋体" w:cs="宋体"/>
          <w:kern w:val="0"/>
          <w:sz w:val="24"/>
        </w:rPr>
      </w:pPr>
      <w:bookmarkStart w:id="0" w:name="_GoBack"/>
      <w:bookmarkEnd w:id="0"/>
      <w:r>
        <w:rPr>
          <w:rFonts w:hint="eastAsia" w:ascii="宋体" w:hAnsi="宋体" w:cs="宋体"/>
          <w:kern w:val="0"/>
          <w:sz w:val="24"/>
        </w:rPr>
        <w:t>四川天府银行股份有限公司</w:t>
      </w:r>
    </w:p>
    <w:p w14:paraId="3CC04735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0731CCEC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2849B06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EAF3F2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45399971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F0E9E"/>
    <w:rsid w:val="00F7789C"/>
    <w:rsid w:val="02434D77"/>
    <w:rsid w:val="02E47A9D"/>
    <w:rsid w:val="038D19B4"/>
    <w:rsid w:val="03E956EF"/>
    <w:rsid w:val="04460A49"/>
    <w:rsid w:val="048732F0"/>
    <w:rsid w:val="048F3C49"/>
    <w:rsid w:val="04C47E05"/>
    <w:rsid w:val="05350F95"/>
    <w:rsid w:val="05B8474A"/>
    <w:rsid w:val="05FA638E"/>
    <w:rsid w:val="060A1A07"/>
    <w:rsid w:val="06305D4D"/>
    <w:rsid w:val="063835A9"/>
    <w:rsid w:val="06930BB8"/>
    <w:rsid w:val="06A55631"/>
    <w:rsid w:val="07C06FD8"/>
    <w:rsid w:val="07FD04B5"/>
    <w:rsid w:val="09EC1679"/>
    <w:rsid w:val="0AA921B8"/>
    <w:rsid w:val="0AFA3677"/>
    <w:rsid w:val="0BE71672"/>
    <w:rsid w:val="0DF860D1"/>
    <w:rsid w:val="0ECD7E97"/>
    <w:rsid w:val="0F4B439C"/>
    <w:rsid w:val="103656C0"/>
    <w:rsid w:val="105B152C"/>
    <w:rsid w:val="10807F00"/>
    <w:rsid w:val="10A021C7"/>
    <w:rsid w:val="10A56D0D"/>
    <w:rsid w:val="11F666AC"/>
    <w:rsid w:val="140103F3"/>
    <w:rsid w:val="15BD30EC"/>
    <w:rsid w:val="160B1CBF"/>
    <w:rsid w:val="16502495"/>
    <w:rsid w:val="167B5A10"/>
    <w:rsid w:val="169110AE"/>
    <w:rsid w:val="16F87C8C"/>
    <w:rsid w:val="17377BBB"/>
    <w:rsid w:val="18ED4939"/>
    <w:rsid w:val="1A066BDE"/>
    <w:rsid w:val="1A202F15"/>
    <w:rsid w:val="1A91755D"/>
    <w:rsid w:val="1B497629"/>
    <w:rsid w:val="1B7134F4"/>
    <w:rsid w:val="1BA04F2F"/>
    <w:rsid w:val="1C060974"/>
    <w:rsid w:val="1C4A4D75"/>
    <w:rsid w:val="1C805BA9"/>
    <w:rsid w:val="1D2965AB"/>
    <w:rsid w:val="1D356105"/>
    <w:rsid w:val="1D5F5C67"/>
    <w:rsid w:val="1EBB1D18"/>
    <w:rsid w:val="1ECE1BF3"/>
    <w:rsid w:val="209D1014"/>
    <w:rsid w:val="21402F06"/>
    <w:rsid w:val="21AE2619"/>
    <w:rsid w:val="22244147"/>
    <w:rsid w:val="223C1643"/>
    <w:rsid w:val="232C399F"/>
    <w:rsid w:val="23681E5F"/>
    <w:rsid w:val="23C828E1"/>
    <w:rsid w:val="2420490B"/>
    <w:rsid w:val="24271AB7"/>
    <w:rsid w:val="2564281F"/>
    <w:rsid w:val="2572053A"/>
    <w:rsid w:val="25EE317E"/>
    <w:rsid w:val="260624C9"/>
    <w:rsid w:val="262D01FE"/>
    <w:rsid w:val="26426C94"/>
    <w:rsid w:val="273D3E50"/>
    <w:rsid w:val="27B204FB"/>
    <w:rsid w:val="28E72441"/>
    <w:rsid w:val="29D6198B"/>
    <w:rsid w:val="2AD256CA"/>
    <w:rsid w:val="2B325A8D"/>
    <w:rsid w:val="2B874E51"/>
    <w:rsid w:val="2BEA29FF"/>
    <w:rsid w:val="2CE97FB8"/>
    <w:rsid w:val="2E560C49"/>
    <w:rsid w:val="2FE547A2"/>
    <w:rsid w:val="32575DFE"/>
    <w:rsid w:val="328B2BFD"/>
    <w:rsid w:val="32C82CB1"/>
    <w:rsid w:val="33CE3458"/>
    <w:rsid w:val="33CF0DAE"/>
    <w:rsid w:val="33EB781F"/>
    <w:rsid w:val="341F30C2"/>
    <w:rsid w:val="34612F8E"/>
    <w:rsid w:val="35085409"/>
    <w:rsid w:val="355A0B2E"/>
    <w:rsid w:val="364E5F60"/>
    <w:rsid w:val="36D207EB"/>
    <w:rsid w:val="36E94025"/>
    <w:rsid w:val="36F0632A"/>
    <w:rsid w:val="3703123A"/>
    <w:rsid w:val="37D25AB8"/>
    <w:rsid w:val="39D73000"/>
    <w:rsid w:val="39E66BCC"/>
    <w:rsid w:val="39ED45B8"/>
    <w:rsid w:val="3B775955"/>
    <w:rsid w:val="3BE70BD5"/>
    <w:rsid w:val="3BFA13B9"/>
    <w:rsid w:val="3CF004B4"/>
    <w:rsid w:val="3D016DE5"/>
    <w:rsid w:val="3E814EB8"/>
    <w:rsid w:val="3F586EE7"/>
    <w:rsid w:val="40F56D04"/>
    <w:rsid w:val="411D65B0"/>
    <w:rsid w:val="42D833DF"/>
    <w:rsid w:val="43215A46"/>
    <w:rsid w:val="434E17EE"/>
    <w:rsid w:val="43A62E3D"/>
    <w:rsid w:val="44600C4F"/>
    <w:rsid w:val="45D31483"/>
    <w:rsid w:val="46751E2D"/>
    <w:rsid w:val="46D20CA3"/>
    <w:rsid w:val="473C7CB7"/>
    <w:rsid w:val="477F6657"/>
    <w:rsid w:val="478B25F6"/>
    <w:rsid w:val="4804352A"/>
    <w:rsid w:val="48AC4CDC"/>
    <w:rsid w:val="48FE3992"/>
    <w:rsid w:val="49082AA6"/>
    <w:rsid w:val="4AAE3FBF"/>
    <w:rsid w:val="4AFC2AEC"/>
    <w:rsid w:val="4B0223A5"/>
    <w:rsid w:val="4B69758C"/>
    <w:rsid w:val="4C7B2090"/>
    <w:rsid w:val="4CBD3DDD"/>
    <w:rsid w:val="4CDE4C9F"/>
    <w:rsid w:val="4D413C79"/>
    <w:rsid w:val="4F6D2B77"/>
    <w:rsid w:val="4F88515B"/>
    <w:rsid w:val="50A50DB2"/>
    <w:rsid w:val="532225AC"/>
    <w:rsid w:val="53A56748"/>
    <w:rsid w:val="55031AD8"/>
    <w:rsid w:val="55E9254F"/>
    <w:rsid w:val="58D45D75"/>
    <w:rsid w:val="597064B6"/>
    <w:rsid w:val="59C7084F"/>
    <w:rsid w:val="59FD4C5D"/>
    <w:rsid w:val="5A20604C"/>
    <w:rsid w:val="5A3B5997"/>
    <w:rsid w:val="5AA31EC3"/>
    <w:rsid w:val="5B453FBD"/>
    <w:rsid w:val="5BD95187"/>
    <w:rsid w:val="5BED1138"/>
    <w:rsid w:val="5CEF24DB"/>
    <w:rsid w:val="5D066FB3"/>
    <w:rsid w:val="5DD713FD"/>
    <w:rsid w:val="5E0D279E"/>
    <w:rsid w:val="5E492AC1"/>
    <w:rsid w:val="5F6019E1"/>
    <w:rsid w:val="5F871F5C"/>
    <w:rsid w:val="5F9C1C33"/>
    <w:rsid w:val="605025A4"/>
    <w:rsid w:val="6101113A"/>
    <w:rsid w:val="623D7E4B"/>
    <w:rsid w:val="62C844C3"/>
    <w:rsid w:val="63AD7175"/>
    <w:rsid w:val="648A129A"/>
    <w:rsid w:val="65136161"/>
    <w:rsid w:val="652F1D0A"/>
    <w:rsid w:val="66EC32BA"/>
    <w:rsid w:val="674940AC"/>
    <w:rsid w:val="678B0B48"/>
    <w:rsid w:val="68087D1C"/>
    <w:rsid w:val="681E159A"/>
    <w:rsid w:val="684269AD"/>
    <w:rsid w:val="691C0C12"/>
    <w:rsid w:val="6A044D5B"/>
    <w:rsid w:val="6B6C3830"/>
    <w:rsid w:val="6C9C2D1E"/>
    <w:rsid w:val="6D256808"/>
    <w:rsid w:val="6D6C4F23"/>
    <w:rsid w:val="6D877A0D"/>
    <w:rsid w:val="703D64D1"/>
    <w:rsid w:val="70CE514A"/>
    <w:rsid w:val="71B8110E"/>
    <w:rsid w:val="7262427B"/>
    <w:rsid w:val="72AE083C"/>
    <w:rsid w:val="72AF194C"/>
    <w:rsid w:val="737351D0"/>
    <w:rsid w:val="749D37E1"/>
    <w:rsid w:val="758A1423"/>
    <w:rsid w:val="75C3766D"/>
    <w:rsid w:val="75E27EEC"/>
    <w:rsid w:val="76B136BB"/>
    <w:rsid w:val="76C755B7"/>
    <w:rsid w:val="776647F5"/>
    <w:rsid w:val="77B01986"/>
    <w:rsid w:val="780006DF"/>
    <w:rsid w:val="78CF7283"/>
    <w:rsid w:val="78F22E4D"/>
    <w:rsid w:val="79083076"/>
    <w:rsid w:val="79685296"/>
    <w:rsid w:val="79A22EF9"/>
    <w:rsid w:val="79F301A7"/>
    <w:rsid w:val="7A4A3119"/>
    <w:rsid w:val="7BF3229B"/>
    <w:rsid w:val="7E594DA8"/>
    <w:rsid w:val="7E7750A1"/>
    <w:rsid w:val="7E7B6E21"/>
    <w:rsid w:val="7EA83249"/>
    <w:rsid w:val="7F6E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2026-09-02T03:06:45Z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