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942AB2">
      <w:pPr>
        <w:adjustRightInd w:val="0"/>
        <w:spacing w:before="156" w:beforeLines="50" w:after="156" w:afterLines="50" w:line="340" w:lineRule="exact"/>
        <w:jc w:val="both"/>
        <w:rPr>
          <w:rFonts w:hint="eastAsia" w:ascii="宋体" w:hAnsi="宋体" w:eastAsia="宋体" w:cs="宋体"/>
          <w:sz w:val="24"/>
          <w:szCs w:val="24"/>
        </w:rPr>
      </w:pPr>
    </w:p>
    <w:p w14:paraId="0FB59219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“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熊猫理财</w:t>
      </w:r>
      <w:r>
        <w:rPr>
          <w:rFonts w:hint="default" w:ascii="宋体" w:hAnsi="宋体" w:cs="宋体"/>
          <w:b/>
          <w:color w:val="2F2F2F"/>
          <w:kern w:val="0"/>
          <w:sz w:val="24"/>
          <w:lang w:val="en-US" w:eastAsia="zh-CN"/>
        </w:rPr>
        <w:t>”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功夫系列半年增利182天开放式</w:t>
      </w:r>
    </w:p>
    <w:p w14:paraId="4E9FAC95">
      <w:pPr>
        <w:widowControl/>
        <w:spacing w:before="156" w:beforeLines="50" w:after="156" w:afterLines="50" w:line="340" w:lineRule="exact"/>
        <w:jc w:val="center"/>
        <w:rPr>
          <w:rFonts w:hint="eastAsia" w:ascii="宋体" w:hAnsi="宋体" w:eastAsia="宋体" w:cs="宋体"/>
          <w:b/>
          <w:color w:val="2F2F2F"/>
          <w:kern w:val="0"/>
          <w:sz w:val="24"/>
        </w:rPr>
      </w:pP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净值型理财产品(GF6M)开放日</w:t>
      </w:r>
      <w:r>
        <w:rPr>
          <w:rFonts w:hint="eastAsia" w:ascii="宋体" w:hAnsi="宋体" w:cs="宋体"/>
          <w:b/>
          <w:color w:val="2F2F2F"/>
          <w:kern w:val="0"/>
          <w:sz w:val="24"/>
          <w:lang w:eastAsia="zh-CN"/>
        </w:rPr>
        <w:t>运行公</w:t>
      </w:r>
      <w:r>
        <w:rPr>
          <w:rFonts w:hint="eastAsia" w:ascii="宋体" w:hAnsi="宋体" w:eastAsia="宋体" w:cs="宋体"/>
          <w:b/>
          <w:color w:val="2F2F2F"/>
          <w:kern w:val="0"/>
          <w:sz w:val="24"/>
        </w:rPr>
        <w:t>告</w:t>
      </w:r>
    </w:p>
    <w:p w14:paraId="6F53366F">
      <w:pPr>
        <w:tabs>
          <w:tab w:val="center" w:pos="4590"/>
        </w:tabs>
        <w:adjustRightInd w:val="0"/>
        <w:snapToGrid w:val="0"/>
        <w:spacing w:before="156" w:beforeLines="50" w:after="156" w:afterLines="50" w:line="340" w:lineRule="exact"/>
        <w:contextualSpacing/>
        <w:jc w:val="center"/>
        <w:rPr>
          <w:rFonts w:asciiTheme="minorEastAsia" w:hAnsiTheme="minorEastAsia" w:eastAsiaTheme="minorEastAsia"/>
          <w:b/>
          <w:color w:val="000000"/>
          <w:kern w:val="0"/>
          <w:sz w:val="24"/>
        </w:rPr>
      </w:pPr>
    </w:p>
    <w:p w14:paraId="35CB2F75">
      <w:pPr>
        <w:widowControl/>
        <w:spacing w:before="156" w:beforeLines="50" w:after="156" w:afterLines="50" w:line="340" w:lineRule="exact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尊敬的客户：</w:t>
      </w:r>
    </w:p>
    <w:p w14:paraId="19BD4B6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  <w:r>
        <w:rPr>
          <w:rFonts w:hint="eastAsia" w:ascii="宋体" w:hAnsi="宋体" w:eastAsia="宋体" w:cs="宋体"/>
          <w:kern w:val="0"/>
          <w:sz w:val="24"/>
        </w:rPr>
        <w:t>我行熊猫理财功夫系列半年增利182天开放式净值型理财产品于202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28</w:t>
      </w:r>
      <w:r>
        <w:rPr>
          <w:rFonts w:hint="eastAsia" w:ascii="宋体" w:hAnsi="宋体" w:eastAsia="宋体" w:cs="宋体"/>
          <w:kern w:val="0"/>
          <w:sz w:val="24"/>
        </w:rPr>
        <w:t>日开放，最近开放期为20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22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7月27</w:t>
      </w:r>
      <w:r>
        <w:rPr>
          <w:rFonts w:hint="eastAsia" w:ascii="宋体" w:hAnsi="宋体" w:eastAsia="宋体" w:cs="宋体"/>
          <w:kern w:val="0"/>
          <w:sz w:val="24"/>
        </w:rPr>
        <w:t>日。该产品截</w:t>
      </w:r>
      <w:r>
        <w:rPr>
          <w:rFonts w:hint="eastAsia" w:ascii="宋体" w:hAnsi="宋体" w:cs="宋体"/>
          <w:kern w:val="0"/>
          <w:sz w:val="24"/>
          <w:lang w:eastAsia="zh-CN"/>
        </w:rPr>
        <w:t>至</w:t>
      </w:r>
      <w:r>
        <w:rPr>
          <w:rFonts w:hint="eastAsia" w:ascii="宋体" w:hAnsi="宋体" w:eastAsia="宋体" w:cs="宋体"/>
          <w:kern w:val="0"/>
          <w:sz w:val="24"/>
        </w:rPr>
        <w:t>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27</w:t>
      </w:r>
      <w:r>
        <w:rPr>
          <w:rFonts w:hint="eastAsia" w:ascii="宋体" w:hAnsi="宋体" w:eastAsia="宋体" w:cs="宋体"/>
          <w:kern w:val="0"/>
          <w:sz w:val="24"/>
        </w:rPr>
        <w:t>日份额净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值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为1.128623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，累计份额净值为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1.128623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，赎回价格为</w:t>
      </w:r>
      <w:r>
        <w:rPr>
          <w:rFonts w:hint="eastAsia" w:ascii="宋体" w:hAnsi="宋体" w:cs="宋体"/>
          <w:kern w:val="0"/>
          <w:sz w:val="24"/>
          <w:highlight w:val="none"/>
          <w:lang w:eastAsia="zh-CN"/>
        </w:rPr>
        <w:t>1.128623</w:t>
      </w:r>
      <w:r>
        <w:rPr>
          <w:rFonts w:hint="eastAsia" w:ascii="宋体" w:hAnsi="宋体" w:cs="宋体"/>
          <w:kern w:val="0"/>
          <w:sz w:val="24"/>
          <w:highlight w:val="none"/>
          <w:lang w:val="en-US" w:eastAsia="zh-CN"/>
        </w:rPr>
        <w:t>。</w:t>
      </w:r>
      <w:r>
        <w:rPr>
          <w:rFonts w:hint="eastAsia" w:ascii="宋体" w:hAnsi="宋体" w:eastAsia="宋体" w:cs="宋体"/>
          <w:kern w:val="0"/>
          <w:sz w:val="24"/>
          <w:highlight w:val="none"/>
        </w:rPr>
        <w:t>该产品下一个开</w:t>
      </w:r>
      <w:r>
        <w:rPr>
          <w:rFonts w:hint="eastAsia" w:ascii="宋体" w:hAnsi="宋体" w:eastAsia="宋体" w:cs="宋体"/>
          <w:kern w:val="0"/>
          <w:sz w:val="24"/>
        </w:rPr>
        <w:t>放期为20</w:t>
      </w:r>
      <w:r>
        <w:rPr>
          <w:rFonts w:hint="eastAsia" w:ascii="宋体" w:hAnsi="宋体" w:cs="宋体"/>
          <w:kern w:val="0"/>
          <w:sz w:val="24"/>
          <w:lang w:val="en-US" w:eastAsia="zh-CN"/>
        </w:rPr>
        <w:t>26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29</w:t>
      </w:r>
      <w:r>
        <w:rPr>
          <w:rFonts w:hint="eastAsia" w:ascii="宋体" w:hAnsi="宋体" w:eastAsia="宋体" w:cs="宋体"/>
          <w:kern w:val="0"/>
          <w:sz w:val="24"/>
        </w:rPr>
        <w:t>日至202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8月3</w:t>
      </w:r>
      <w:r>
        <w:rPr>
          <w:rFonts w:hint="eastAsia" w:ascii="宋体" w:hAnsi="宋体" w:eastAsia="宋体" w:cs="宋体"/>
          <w:kern w:val="0"/>
          <w:sz w:val="24"/>
        </w:rPr>
        <w:t>日,下一个开放日为202</w:t>
      </w:r>
      <w:r>
        <w:rPr>
          <w:rFonts w:hint="eastAsia" w:ascii="宋体" w:hAnsi="宋体" w:cs="宋体"/>
          <w:kern w:val="0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kern w:val="0"/>
          <w:sz w:val="24"/>
        </w:rPr>
        <w:t>年</w:t>
      </w:r>
      <w:r>
        <w:rPr>
          <w:rFonts w:hint="eastAsia" w:ascii="宋体" w:hAnsi="宋体" w:cs="宋体"/>
          <w:kern w:val="0"/>
          <w:sz w:val="24"/>
          <w:lang w:val="en-US" w:eastAsia="zh-CN"/>
        </w:rPr>
        <w:t>8</w:t>
      </w:r>
      <w:r>
        <w:rPr>
          <w:rFonts w:hint="eastAsia" w:ascii="宋体" w:hAnsi="宋体" w:eastAsia="宋体" w:cs="宋体"/>
          <w:kern w:val="0"/>
          <w:sz w:val="24"/>
        </w:rPr>
        <w:t>月</w:t>
      </w:r>
      <w:r>
        <w:rPr>
          <w:rFonts w:hint="eastAsia" w:ascii="宋体" w:hAnsi="宋体" w:cs="宋体"/>
          <w:kern w:val="0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kern w:val="0"/>
          <w:sz w:val="24"/>
        </w:rPr>
        <w:t>日，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下一投资周期到期日为202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日（202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日至202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年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月</w:t>
      </w:r>
      <w:r>
        <w:rPr>
          <w:rFonts w:hint="eastAsia" w:ascii="宋体" w:hAnsi="宋体" w:cs="宋体"/>
          <w:color w:val="000000"/>
          <w:kern w:val="0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color w:val="000000"/>
          <w:kern w:val="0"/>
          <w:sz w:val="24"/>
        </w:rPr>
        <w:t>日可赎回），</w:t>
      </w:r>
      <w:r>
        <w:rPr>
          <w:rFonts w:hint="eastAsia" w:ascii="宋体" w:hAnsi="宋体" w:eastAsia="宋体" w:cs="宋体"/>
          <w:kern w:val="0"/>
          <w:sz w:val="24"/>
        </w:rPr>
        <w:t>本投资周期为</w:t>
      </w:r>
      <w:r>
        <w:rPr>
          <w:rFonts w:hint="eastAsia" w:ascii="宋体" w:hAnsi="宋体" w:cs="宋体"/>
          <w:kern w:val="0"/>
          <w:sz w:val="24"/>
          <w:lang w:val="en-US" w:eastAsia="zh-CN"/>
        </w:rPr>
        <w:t>182</w:t>
      </w:r>
      <w:r>
        <w:rPr>
          <w:rFonts w:hint="eastAsia" w:ascii="宋体" w:hAnsi="宋体" w:eastAsia="宋体" w:cs="宋体"/>
          <w:kern w:val="0"/>
          <w:sz w:val="24"/>
        </w:rPr>
        <w:t>天。目前产品运营正常。该产品为净值型产品，业绩比较基准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2.1</w:t>
      </w:r>
      <w:r>
        <w:rPr>
          <w:rFonts w:hint="eastAsia" w:ascii="宋体" w:hAnsi="宋体" w:eastAsia="宋体" w:cs="宋体"/>
          <w:kern w:val="0"/>
          <w:sz w:val="24"/>
        </w:rPr>
        <w:t>0%-</w:t>
      </w:r>
      <w:r>
        <w:rPr>
          <w:rFonts w:hint="eastAsia" w:ascii="宋体" w:hAnsi="宋体" w:cs="宋体"/>
          <w:kern w:val="0"/>
          <w:sz w:val="24"/>
          <w:lang w:val="en-US" w:eastAsia="zh-CN"/>
        </w:rPr>
        <w:t>2.30</w:t>
      </w:r>
      <w:r>
        <w:rPr>
          <w:rFonts w:hint="eastAsia" w:ascii="宋体" w:hAnsi="宋体" w:eastAsia="宋体" w:cs="宋体"/>
          <w:kern w:val="0"/>
          <w:sz w:val="24"/>
        </w:rPr>
        <w:t>%，实际盈亏视产品净值波动情况而定，欢迎咨询。</w:t>
      </w:r>
    </w:p>
    <w:p w14:paraId="15EC9B10">
      <w:pPr>
        <w:widowControl/>
        <w:tabs>
          <w:tab w:val="left" w:pos="3151"/>
        </w:tabs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</w:rPr>
        <w:t>特此</w:t>
      </w:r>
      <w:r>
        <w:rPr>
          <w:rFonts w:hint="eastAsia" w:ascii="宋体" w:hAnsi="宋体" w:cs="宋体"/>
          <w:kern w:val="0"/>
          <w:sz w:val="24"/>
          <w:lang w:eastAsia="zh-CN"/>
        </w:rPr>
        <w:t>公</w:t>
      </w:r>
      <w:r>
        <w:rPr>
          <w:rFonts w:hint="eastAsia" w:ascii="宋体" w:hAnsi="宋体" w:eastAsia="宋体" w:cs="宋体"/>
          <w:kern w:val="0"/>
          <w:sz w:val="24"/>
        </w:rPr>
        <w:t>告。</w:t>
      </w:r>
      <w:r>
        <w:rPr>
          <w:rFonts w:hint="eastAsia" w:ascii="宋体" w:hAnsi="宋体" w:cs="宋体"/>
          <w:kern w:val="0"/>
          <w:sz w:val="24"/>
          <w:lang w:eastAsia="zh-CN"/>
        </w:rPr>
        <w:tab/>
      </w:r>
    </w:p>
    <w:p w14:paraId="603D4B1F">
      <w:pPr>
        <w:widowControl/>
        <w:spacing w:before="156" w:beforeLines="50" w:after="156" w:afterLines="50" w:line="340" w:lineRule="exact"/>
        <w:ind w:firstLine="420"/>
        <w:jc w:val="left"/>
        <w:rPr>
          <w:rFonts w:hint="eastAsia" w:ascii="宋体" w:hAnsi="宋体" w:eastAsia="宋体" w:cs="宋体"/>
          <w:kern w:val="0"/>
          <w:sz w:val="24"/>
        </w:rPr>
      </w:pPr>
    </w:p>
    <w:p w14:paraId="37851D0C">
      <w:pPr>
        <w:spacing w:before="156" w:beforeLines="50" w:after="156" w:afterLines="50" w:line="340" w:lineRule="exact"/>
        <w:jc w:val="right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四川天府银行股份有限公司</w:t>
      </w:r>
    </w:p>
    <w:p w14:paraId="675C016C">
      <w:pPr>
        <w:wordWrap w:val="0"/>
        <w:spacing w:before="156" w:beforeLines="50" w:after="156" w:afterLines="50" w:line="340" w:lineRule="exact"/>
        <w:jc w:val="right"/>
        <w:rPr>
          <w:rFonts w:hint="eastAsia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sz w:val="24"/>
        </w:rPr>
        <w:t>02</w:t>
      </w:r>
      <w:r>
        <w:rPr>
          <w:rFonts w:hint="eastAsia" w:ascii="宋体" w:hAnsi="宋体" w:cs="宋体"/>
          <w:sz w:val="24"/>
          <w:lang w:val="en-US" w:eastAsia="zh-CN"/>
        </w:rPr>
        <w:t>6</w:t>
      </w:r>
      <w:r>
        <w:rPr>
          <w:rFonts w:hint="eastAsia" w:ascii="宋体" w:hAnsi="宋体" w:eastAsia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7</w:t>
      </w:r>
      <w:r>
        <w:rPr>
          <w:rFonts w:hint="eastAsia" w:ascii="宋体" w:hAnsi="宋体" w:eastAsia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28日</w:t>
      </w:r>
    </w:p>
    <w:p w14:paraId="1A21D16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5B6459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  <w:bookmarkStart w:id="0" w:name="_GoBack"/>
      <w:bookmarkEnd w:id="0"/>
    </w:p>
    <w:p w14:paraId="513049E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BA1B877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75B76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3C4169D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264D4C2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5E44CA3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81FCEB8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53D6701A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7047A20C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41CBE8D5">
      <w:pPr>
        <w:adjustRightInd w:val="0"/>
        <w:spacing w:before="156" w:beforeLines="50" w:after="156" w:afterLines="50" w:line="340" w:lineRule="exact"/>
        <w:ind w:firstLine="480" w:firstLineChars="200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B823BF8">
      <w:pPr>
        <w:tabs>
          <w:tab w:val="left" w:pos="3041"/>
        </w:tabs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onospac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D17C6"/>
    <w:rsid w:val="001F245C"/>
    <w:rsid w:val="00AF0E9E"/>
    <w:rsid w:val="00F7789C"/>
    <w:rsid w:val="02434D77"/>
    <w:rsid w:val="02E47A9D"/>
    <w:rsid w:val="02F84EBF"/>
    <w:rsid w:val="03E956EF"/>
    <w:rsid w:val="04460A49"/>
    <w:rsid w:val="048F3C49"/>
    <w:rsid w:val="04C47E05"/>
    <w:rsid w:val="05350F95"/>
    <w:rsid w:val="05D50DBA"/>
    <w:rsid w:val="05FA638E"/>
    <w:rsid w:val="060A1A07"/>
    <w:rsid w:val="06305D4D"/>
    <w:rsid w:val="06930BB8"/>
    <w:rsid w:val="07AC0534"/>
    <w:rsid w:val="08B00728"/>
    <w:rsid w:val="095C319D"/>
    <w:rsid w:val="0A395E7C"/>
    <w:rsid w:val="0A4F494E"/>
    <w:rsid w:val="0B423C35"/>
    <w:rsid w:val="0B8B36C0"/>
    <w:rsid w:val="0D830693"/>
    <w:rsid w:val="0DF860D1"/>
    <w:rsid w:val="0ECD7E97"/>
    <w:rsid w:val="0FE239D5"/>
    <w:rsid w:val="101504F3"/>
    <w:rsid w:val="105B152C"/>
    <w:rsid w:val="10807F00"/>
    <w:rsid w:val="10A021C7"/>
    <w:rsid w:val="10A02655"/>
    <w:rsid w:val="10A56D0D"/>
    <w:rsid w:val="11F666AC"/>
    <w:rsid w:val="140103F3"/>
    <w:rsid w:val="1409430E"/>
    <w:rsid w:val="14D0211A"/>
    <w:rsid w:val="14F048A5"/>
    <w:rsid w:val="15105635"/>
    <w:rsid w:val="15314B65"/>
    <w:rsid w:val="16502495"/>
    <w:rsid w:val="169110AE"/>
    <w:rsid w:val="16F87C8C"/>
    <w:rsid w:val="17EA6A81"/>
    <w:rsid w:val="17F429AA"/>
    <w:rsid w:val="19B5554D"/>
    <w:rsid w:val="19B94AA5"/>
    <w:rsid w:val="1A883876"/>
    <w:rsid w:val="1AB52113"/>
    <w:rsid w:val="1AB64FD3"/>
    <w:rsid w:val="1AFE15AE"/>
    <w:rsid w:val="1B497629"/>
    <w:rsid w:val="1BA04F2F"/>
    <w:rsid w:val="1C4A4D75"/>
    <w:rsid w:val="1C805BA9"/>
    <w:rsid w:val="1D2965AB"/>
    <w:rsid w:val="1D356105"/>
    <w:rsid w:val="1D5F5C67"/>
    <w:rsid w:val="1D714281"/>
    <w:rsid w:val="1D851A09"/>
    <w:rsid w:val="1E5F69D6"/>
    <w:rsid w:val="1EBB1D18"/>
    <w:rsid w:val="205801A5"/>
    <w:rsid w:val="209D1014"/>
    <w:rsid w:val="21AE2619"/>
    <w:rsid w:val="223C1643"/>
    <w:rsid w:val="232C399F"/>
    <w:rsid w:val="2420490B"/>
    <w:rsid w:val="24271AB7"/>
    <w:rsid w:val="2572053A"/>
    <w:rsid w:val="25EE317E"/>
    <w:rsid w:val="25F00EB7"/>
    <w:rsid w:val="260624C9"/>
    <w:rsid w:val="26231828"/>
    <w:rsid w:val="262A2F6B"/>
    <w:rsid w:val="262D01FE"/>
    <w:rsid w:val="26846728"/>
    <w:rsid w:val="273D3E50"/>
    <w:rsid w:val="27B1758C"/>
    <w:rsid w:val="27B204FB"/>
    <w:rsid w:val="28BD24D5"/>
    <w:rsid w:val="28E72441"/>
    <w:rsid w:val="2B874E51"/>
    <w:rsid w:val="2BEA29FF"/>
    <w:rsid w:val="2CE97FB8"/>
    <w:rsid w:val="2E560C49"/>
    <w:rsid w:val="2EFD2172"/>
    <w:rsid w:val="2FC9406D"/>
    <w:rsid w:val="2FDF3E87"/>
    <w:rsid w:val="2FE547A2"/>
    <w:rsid w:val="31412EC3"/>
    <w:rsid w:val="328B2BFD"/>
    <w:rsid w:val="32C82CB1"/>
    <w:rsid w:val="33B41DED"/>
    <w:rsid w:val="33CE3458"/>
    <w:rsid w:val="33EB781F"/>
    <w:rsid w:val="33EE36E5"/>
    <w:rsid w:val="341F30C2"/>
    <w:rsid w:val="34612F8E"/>
    <w:rsid w:val="347B15F0"/>
    <w:rsid w:val="35085409"/>
    <w:rsid w:val="36E94025"/>
    <w:rsid w:val="36F0632A"/>
    <w:rsid w:val="37D25AB8"/>
    <w:rsid w:val="37DA7EE4"/>
    <w:rsid w:val="37DC61D3"/>
    <w:rsid w:val="38037155"/>
    <w:rsid w:val="39D73000"/>
    <w:rsid w:val="3A482CD3"/>
    <w:rsid w:val="3A483267"/>
    <w:rsid w:val="3BFA13B9"/>
    <w:rsid w:val="3CF94234"/>
    <w:rsid w:val="3D016DE5"/>
    <w:rsid w:val="3D9E089B"/>
    <w:rsid w:val="3F586EE7"/>
    <w:rsid w:val="411D65B0"/>
    <w:rsid w:val="41B358AA"/>
    <w:rsid w:val="42D833DF"/>
    <w:rsid w:val="43A62E3D"/>
    <w:rsid w:val="43F11ECE"/>
    <w:rsid w:val="44600C4F"/>
    <w:rsid w:val="44BE1EF3"/>
    <w:rsid w:val="453B6AF9"/>
    <w:rsid w:val="45752B35"/>
    <w:rsid w:val="45D31483"/>
    <w:rsid w:val="46D20CA3"/>
    <w:rsid w:val="473C7CB7"/>
    <w:rsid w:val="47632B28"/>
    <w:rsid w:val="478B25F6"/>
    <w:rsid w:val="48AC4CDC"/>
    <w:rsid w:val="48AC671A"/>
    <w:rsid w:val="48AE12C8"/>
    <w:rsid w:val="49681805"/>
    <w:rsid w:val="4AAE3FBF"/>
    <w:rsid w:val="4AFC2AEC"/>
    <w:rsid w:val="4B0223A5"/>
    <w:rsid w:val="4BEC1145"/>
    <w:rsid w:val="4C6E3A7F"/>
    <w:rsid w:val="4CBD3DDD"/>
    <w:rsid w:val="4D024F92"/>
    <w:rsid w:val="4D413C79"/>
    <w:rsid w:val="4DF15708"/>
    <w:rsid w:val="4E0D14CB"/>
    <w:rsid w:val="4E5E262F"/>
    <w:rsid w:val="4FDD3AB5"/>
    <w:rsid w:val="503224E5"/>
    <w:rsid w:val="50672496"/>
    <w:rsid w:val="50A50DB2"/>
    <w:rsid w:val="50CF32B6"/>
    <w:rsid w:val="5204434A"/>
    <w:rsid w:val="53052630"/>
    <w:rsid w:val="532225AC"/>
    <w:rsid w:val="53A56748"/>
    <w:rsid w:val="53FB1651"/>
    <w:rsid w:val="597064B6"/>
    <w:rsid w:val="59C7084F"/>
    <w:rsid w:val="59DD4B14"/>
    <w:rsid w:val="5A02398D"/>
    <w:rsid w:val="5A3B5997"/>
    <w:rsid w:val="5A8D2D7D"/>
    <w:rsid w:val="5AA31EC3"/>
    <w:rsid w:val="5B453FBD"/>
    <w:rsid w:val="5BED1138"/>
    <w:rsid w:val="5CEF24DB"/>
    <w:rsid w:val="5D066FB3"/>
    <w:rsid w:val="5D473FDE"/>
    <w:rsid w:val="5DD713FD"/>
    <w:rsid w:val="5DE05B1C"/>
    <w:rsid w:val="5E0D279E"/>
    <w:rsid w:val="5F6019E1"/>
    <w:rsid w:val="5F9C1C33"/>
    <w:rsid w:val="600C2228"/>
    <w:rsid w:val="6101113A"/>
    <w:rsid w:val="63FF54EE"/>
    <w:rsid w:val="648A129A"/>
    <w:rsid w:val="65136161"/>
    <w:rsid w:val="66EC32BA"/>
    <w:rsid w:val="68087D1C"/>
    <w:rsid w:val="681E159A"/>
    <w:rsid w:val="684269AD"/>
    <w:rsid w:val="691C0C12"/>
    <w:rsid w:val="69A87925"/>
    <w:rsid w:val="6A197490"/>
    <w:rsid w:val="6C9C2D1E"/>
    <w:rsid w:val="6D256808"/>
    <w:rsid w:val="6D6C4F23"/>
    <w:rsid w:val="6F253361"/>
    <w:rsid w:val="71206D53"/>
    <w:rsid w:val="7262427B"/>
    <w:rsid w:val="72AE083C"/>
    <w:rsid w:val="72F15E1B"/>
    <w:rsid w:val="737351D0"/>
    <w:rsid w:val="73ED1F36"/>
    <w:rsid w:val="744730D3"/>
    <w:rsid w:val="749D37E1"/>
    <w:rsid w:val="751D6BD6"/>
    <w:rsid w:val="75490DEF"/>
    <w:rsid w:val="758A1423"/>
    <w:rsid w:val="75C3766D"/>
    <w:rsid w:val="75E27EEC"/>
    <w:rsid w:val="7636230E"/>
    <w:rsid w:val="76A95F29"/>
    <w:rsid w:val="76B136BB"/>
    <w:rsid w:val="76B81117"/>
    <w:rsid w:val="77B01986"/>
    <w:rsid w:val="780006DF"/>
    <w:rsid w:val="78CF7283"/>
    <w:rsid w:val="79083076"/>
    <w:rsid w:val="79864667"/>
    <w:rsid w:val="79A22EF9"/>
    <w:rsid w:val="7BCA3328"/>
    <w:rsid w:val="7C702BD4"/>
    <w:rsid w:val="7EA01A9A"/>
    <w:rsid w:val="7EA83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  <w:color w:val="FFFFFF"/>
      <w:sz w:val="18"/>
      <w:szCs w:val="18"/>
      <w:shd w:val="clear" w:fill="777777"/>
      <w:vertAlign w:val="baseline"/>
    </w:rPr>
  </w:style>
  <w:style w:type="character" w:styleId="6">
    <w:name w:val="FollowedHyperlink"/>
    <w:basedOn w:val="4"/>
    <w:qFormat/>
    <w:uiPriority w:val="0"/>
    <w:rPr>
      <w:color w:val="337AB7"/>
      <w:u w:val="none"/>
    </w:rPr>
  </w:style>
  <w:style w:type="character" w:styleId="7">
    <w:name w:val="HTML Definition"/>
    <w:basedOn w:val="4"/>
    <w:qFormat/>
    <w:uiPriority w:val="0"/>
    <w:rPr>
      <w:i/>
    </w:rPr>
  </w:style>
  <w:style w:type="character" w:styleId="8">
    <w:name w:val="Hyperlink"/>
    <w:basedOn w:val="4"/>
    <w:qFormat/>
    <w:uiPriority w:val="0"/>
    <w:rPr>
      <w:color w:val="337AB7"/>
      <w:u w:val="none"/>
    </w:rPr>
  </w:style>
  <w:style w:type="character" w:styleId="9">
    <w:name w:val="HTML Code"/>
    <w:basedOn w:val="4"/>
    <w:qFormat/>
    <w:uiPriority w:val="0"/>
    <w:rPr>
      <w:rFonts w:ascii="monospace" w:hAnsi="monospace" w:eastAsia="monospace" w:cs="monospace"/>
      <w:color w:val="C7254E"/>
      <w:sz w:val="21"/>
      <w:szCs w:val="21"/>
      <w:shd w:val="clear" w:fill="F9F2F4"/>
    </w:rPr>
  </w:style>
  <w:style w:type="character" w:styleId="10">
    <w:name w:val="HTML Keyboard"/>
    <w:basedOn w:val="4"/>
    <w:qFormat/>
    <w:uiPriority w:val="0"/>
    <w:rPr>
      <w:rFonts w:hint="default" w:ascii="monospace" w:hAnsi="monospace" w:eastAsia="monospace" w:cs="monospace"/>
      <w:color w:val="FFFFFF"/>
      <w:sz w:val="21"/>
      <w:szCs w:val="21"/>
      <w:shd w:val="clear" w:fill="333333"/>
    </w:rPr>
  </w:style>
  <w:style w:type="character" w:styleId="11">
    <w:name w:val="HTML Sample"/>
    <w:basedOn w:val="4"/>
    <w:qFormat/>
    <w:uiPriority w:val="0"/>
    <w:rPr>
      <w:rFonts w:hint="default" w:ascii="monospace" w:hAnsi="monospace" w:eastAsia="monospace" w:cs="monospace"/>
      <w:sz w:val="21"/>
      <w:szCs w:val="21"/>
    </w:rPr>
  </w:style>
  <w:style w:type="character" w:customStyle="1" w:styleId="12">
    <w:name w:val="sort"/>
    <w:basedOn w:val="4"/>
    <w:qFormat/>
    <w:uiPriority w:val="0"/>
    <w:rPr>
      <w:color w:val="CCCCCC"/>
      <w:sz w:val="18"/>
      <w:szCs w:val="18"/>
    </w:rPr>
  </w:style>
  <w:style w:type="character" w:customStyle="1" w:styleId="13">
    <w:name w:val="sort1"/>
    <w:basedOn w:val="4"/>
    <w:qFormat/>
    <w:uiPriority w:val="0"/>
    <w:rPr>
      <w:color w:val="5BC0DE"/>
    </w:rPr>
  </w:style>
  <w:style w:type="character" w:customStyle="1" w:styleId="14">
    <w:name w:val="sort2"/>
    <w:basedOn w:val="4"/>
    <w:qFormat/>
    <w:uiPriority w:val="0"/>
    <w:rPr>
      <w:color w:val="CCCCCC"/>
      <w:sz w:val="18"/>
      <w:szCs w:val="18"/>
    </w:rPr>
  </w:style>
  <w:style w:type="character" w:customStyle="1" w:styleId="15">
    <w:name w:val="hover1"/>
    <w:basedOn w:val="4"/>
    <w:qFormat/>
    <w:uiPriority w:val="0"/>
    <w:rPr>
      <w:color w:val="FFFFFF"/>
    </w:rPr>
  </w:style>
  <w:style w:type="character" w:customStyle="1" w:styleId="16">
    <w:name w:val="hover2"/>
    <w:basedOn w:val="4"/>
    <w:qFormat/>
    <w:uiPriority w:val="0"/>
    <w:rPr>
      <w:color w:val="5FB878"/>
    </w:rPr>
  </w:style>
  <w:style w:type="character" w:customStyle="1" w:styleId="17">
    <w:name w:val="hover3"/>
    <w:basedOn w:val="4"/>
    <w:qFormat/>
    <w:uiPriority w:val="0"/>
    <w:rPr>
      <w:shd w:val="clear" w:fill="EEEEEE"/>
    </w:rPr>
  </w:style>
  <w:style w:type="character" w:customStyle="1" w:styleId="18">
    <w:name w:val="hover4"/>
    <w:basedOn w:val="4"/>
    <w:qFormat/>
    <w:uiPriority w:val="0"/>
    <w:rPr>
      <w:color w:val="5FB878"/>
    </w:rPr>
  </w:style>
  <w:style w:type="character" w:customStyle="1" w:styleId="19">
    <w:name w:val="old"/>
    <w:basedOn w:val="4"/>
    <w:qFormat/>
    <w:uiPriority w:val="0"/>
    <w:rPr>
      <w:color w:val="999999"/>
    </w:rPr>
  </w:style>
  <w:style w:type="character" w:customStyle="1" w:styleId="20">
    <w:name w:val="new"/>
    <w:basedOn w:val="4"/>
    <w:qFormat/>
    <w:uiPriority w:val="0"/>
    <w:rPr>
      <w:color w:val="999999"/>
    </w:rPr>
  </w:style>
  <w:style w:type="character" w:customStyle="1" w:styleId="21">
    <w:name w:val="k-down-arrow"/>
    <w:basedOn w:val="4"/>
    <w:qFormat/>
    <w:uiPriority w:val="0"/>
  </w:style>
  <w:style w:type="character" w:customStyle="1" w:styleId="22">
    <w:name w:val="money-string"/>
    <w:basedOn w:val="4"/>
    <w:qFormat/>
    <w:uiPriority w:val="0"/>
    <w:rPr>
      <w:b/>
    </w:rPr>
  </w:style>
  <w:style w:type="character" w:customStyle="1" w:styleId="23">
    <w:name w:val="badge17"/>
    <w:basedOn w:val="4"/>
    <w:qFormat/>
    <w:uiPriority w:val="0"/>
    <w:rPr>
      <w:sz w:val="15"/>
      <w:szCs w:val="15"/>
    </w:rPr>
  </w:style>
  <w:style w:type="character" w:customStyle="1" w:styleId="24">
    <w:name w:val="badge18"/>
    <w:basedOn w:val="4"/>
    <w:qFormat/>
    <w:uiPriority w:val="0"/>
    <w:rPr>
      <w:sz w:val="15"/>
      <w:szCs w:val="15"/>
    </w:rPr>
  </w:style>
  <w:style w:type="character" w:customStyle="1" w:styleId="25">
    <w:name w:val="hover"/>
    <w:basedOn w:val="4"/>
    <w:qFormat/>
    <w:uiPriority w:val="0"/>
    <w:rPr>
      <w:shd w:val="clear" w:fill="EEEEE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Office_12.8.2.21549_F1E327BC-269C-435d-A152-05C5408002CA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2024-04-11T06:33:00Z</dcterms:created>
  <dc:creator>user</dc:creator>
  <cp:lastModifiedBy> </cp:lastModifiedBy>
  <dcterms:modified xsi:type="dcterms:W3CDTF">2026-07-28T03:05:04Z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2052-12.8.2.21549</vt:lpwstr>
  </property>
  <property fmtid="{D5CDD505-2E9C-101B-9397-08002B2CF9AE}" pid="3" name="ICV">
    <vt:lpwstr>3710803875EE4DFE8F24CEE3B277B432</vt:lpwstr>
  </property>
</Properties>
</file>