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4月21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日份额净值1.179514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1.179514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1.179514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5月19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B7F1A22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1CA0E87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116317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3D8C621B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82A3C4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2026-04-22T02:14:28Z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