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40"/>
        <w:jc w:val="center"/>
        <w:rPr>
          <w:rFonts w:ascii="仿宋_GB2312" w:eastAsia="仿宋_GB2312"/>
          <w:color w:val="auto"/>
          <w:sz w:val="72"/>
        </w:rPr>
      </w:pPr>
    </w:p>
    <w:p>
      <w:pPr>
        <w:spacing w:line="360" w:lineRule="auto"/>
        <w:jc w:val="center"/>
        <w:rPr>
          <w:rFonts w:ascii="黑体" w:eastAsia="黑体"/>
          <w:b/>
          <w:color w:val="auto"/>
          <w:sz w:val="52"/>
        </w:rPr>
      </w:pPr>
      <w:r>
        <w:rPr>
          <w:rFonts w:hint="eastAsia" w:ascii="黑体" w:eastAsia="黑体"/>
          <w:b/>
          <w:color w:val="auto"/>
          <w:sz w:val="52"/>
        </w:rPr>
        <w:t>四川天府银行股份有限公司</w:t>
      </w:r>
    </w:p>
    <w:p>
      <w:pPr>
        <w:spacing w:line="360" w:lineRule="auto"/>
        <w:jc w:val="center"/>
        <w:rPr>
          <w:rFonts w:ascii="黑体" w:eastAsia="黑体"/>
          <w:b/>
          <w:color w:val="auto"/>
          <w:sz w:val="52"/>
        </w:rPr>
      </w:pPr>
      <w:r>
        <w:rPr>
          <w:rFonts w:hint="eastAsia" w:ascii="黑体" w:eastAsia="黑体"/>
          <w:b/>
          <w:color w:val="auto"/>
          <w:sz w:val="52"/>
        </w:rPr>
        <w:t>企业微信本地化部署</w:t>
      </w:r>
      <w:r>
        <w:rPr>
          <w:rFonts w:hint="eastAsia" w:ascii="黑体" w:eastAsia="黑体"/>
          <w:b/>
          <w:color w:val="auto"/>
          <w:sz w:val="52"/>
        </w:rPr>
        <w:t>采购招标文件</w:t>
      </w:r>
    </w:p>
    <w:p>
      <w:pPr>
        <w:spacing w:line="360" w:lineRule="auto"/>
        <w:jc w:val="center"/>
        <w:rPr>
          <w:rFonts w:ascii="黑体" w:eastAsia="黑体"/>
          <w:color w:val="auto"/>
          <w:sz w:val="32"/>
        </w:rPr>
      </w:pPr>
    </w:p>
    <w:p>
      <w:pPr>
        <w:spacing w:line="360" w:lineRule="auto"/>
        <w:jc w:val="center"/>
        <w:rPr>
          <w:rFonts w:ascii="黑体" w:eastAsia="黑体"/>
          <w:color w:val="auto"/>
          <w:sz w:val="32"/>
        </w:rPr>
      </w:pPr>
    </w:p>
    <w:p>
      <w:pPr>
        <w:spacing w:line="360" w:lineRule="auto"/>
        <w:jc w:val="center"/>
        <w:rPr>
          <w:rFonts w:ascii="黑体" w:eastAsia="黑体"/>
          <w:color w:val="auto"/>
          <w:sz w:val="32"/>
        </w:rPr>
      </w:pPr>
    </w:p>
    <w:p>
      <w:pPr>
        <w:spacing w:line="360" w:lineRule="auto"/>
        <w:jc w:val="center"/>
        <w:rPr>
          <w:rFonts w:ascii="黑体" w:eastAsia="黑体"/>
          <w:color w:val="auto"/>
          <w:sz w:val="32"/>
        </w:rPr>
      </w:pPr>
    </w:p>
    <w:p>
      <w:pPr>
        <w:spacing w:line="360" w:lineRule="auto"/>
        <w:jc w:val="center"/>
        <w:rPr>
          <w:rFonts w:ascii="黑体" w:eastAsia="黑体"/>
          <w:color w:val="auto"/>
          <w:sz w:val="32"/>
        </w:rPr>
      </w:pPr>
    </w:p>
    <w:p>
      <w:pPr>
        <w:spacing w:line="360" w:lineRule="auto"/>
        <w:jc w:val="center"/>
        <w:rPr>
          <w:rFonts w:ascii="黑体" w:eastAsia="黑体"/>
          <w:color w:val="auto"/>
          <w:sz w:val="32"/>
        </w:rPr>
      </w:pPr>
    </w:p>
    <w:p>
      <w:pPr>
        <w:spacing w:line="360" w:lineRule="auto"/>
        <w:jc w:val="center"/>
        <w:rPr>
          <w:rFonts w:ascii="黑体" w:eastAsia="黑体"/>
          <w:color w:val="auto"/>
          <w:sz w:val="32"/>
        </w:rPr>
      </w:pPr>
    </w:p>
    <w:p>
      <w:pPr>
        <w:spacing w:line="360" w:lineRule="auto"/>
        <w:jc w:val="center"/>
        <w:rPr>
          <w:rFonts w:ascii="黑体" w:eastAsia="黑体"/>
          <w:color w:val="auto"/>
          <w:sz w:val="32"/>
        </w:rPr>
      </w:pPr>
      <w:r>
        <w:rPr>
          <w:rFonts w:hint="eastAsia" w:ascii="黑体" w:eastAsia="黑体"/>
          <w:color w:val="auto"/>
          <w:sz w:val="32"/>
        </w:rPr>
        <w:t>四川天府银行股份有限公司</w:t>
      </w:r>
    </w:p>
    <w:p>
      <w:pPr>
        <w:spacing w:line="360" w:lineRule="auto"/>
        <w:jc w:val="center"/>
        <w:rPr>
          <w:rFonts w:ascii="黑体" w:eastAsia="黑体"/>
          <w:color w:val="auto"/>
          <w:spacing w:val="20"/>
          <w:sz w:val="32"/>
        </w:rPr>
        <w:sectPr>
          <w:headerReference r:id="rId3" w:type="default"/>
          <w:pgSz w:w="11907" w:h="16840"/>
          <w:pgMar w:top="1418" w:right="1304" w:bottom="1361" w:left="1361" w:header="794" w:footer="794" w:gutter="0"/>
          <w:cols w:space="720" w:num="1"/>
          <w:docGrid w:linePitch="285" w:charSpace="0"/>
        </w:sectPr>
      </w:pPr>
      <w:r>
        <w:rPr>
          <w:rFonts w:hint="eastAsia" w:ascii="黑体" w:eastAsia="黑体"/>
          <w:color w:val="auto"/>
          <w:spacing w:val="20"/>
          <w:sz w:val="32"/>
        </w:rPr>
        <w:t>二○二四年</w:t>
      </w:r>
      <w:r>
        <w:rPr>
          <w:rFonts w:hint="eastAsia" w:ascii="黑体" w:eastAsia="黑体"/>
          <w:color w:val="auto"/>
          <w:spacing w:val="20"/>
          <w:sz w:val="32"/>
          <w:lang w:val="en-US" w:eastAsia="zh-CN"/>
        </w:rPr>
        <w:t>八</w:t>
      </w:r>
      <w:r>
        <w:rPr>
          <w:rFonts w:hint="eastAsia" w:ascii="黑体" w:eastAsia="黑体"/>
          <w:color w:val="auto"/>
          <w:spacing w:val="20"/>
          <w:sz w:val="32"/>
        </w:rPr>
        <w:t>月</w:t>
      </w:r>
    </w:p>
    <w:p>
      <w:pPr>
        <w:jc w:val="center"/>
        <w:rPr>
          <w:rFonts w:ascii="黑体" w:eastAsia="黑体"/>
          <w:b/>
          <w:color w:val="auto"/>
          <w:sz w:val="32"/>
          <w:szCs w:val="32"/>
        </w:rPr>
      </w:pPr>
    </w:p>
    <w:p>
      <w:pPr>
        <w:jc w:val="center"/>
        <w:rPr>
          <w:rFonts w:ascii="黑体" w:eastAsia="黑体"/>
          <w:b/>
          <w:color w:val="auto"/>
          <w:sz w:val="32"/>
          <w:szCs w:val="32"/>
        </w:rPr>
      </w:pPr>
    </w:p>
    <w:p>
      <w:pPr>
        <w:jc w:val="center"/>
        <w:rPr>
          <w:rFonts w:ascii="黑体" w:eastAsia="黑体"/>
          <w:b/>
          <w:color w:val="auto"/>
          <w:sz w:val="32"/>
          <w:szCs w:val="32"/>
        </w:rPr>
      </w:pPr>
      <w:r>
        <w:rPr>
          <w:rFonts w:hint="eastAsia" w:ascii="黑体" w:eastAsia="黑体"/>
          <w:b/>
          <w:color w:val="auto"/>
          <w:sz w:val="32"/>
          <w:szCs w:val="32"/>
        </w:rPr>
        <w:t>目  录</w:t>
      </w:r>
    </w:p>
    <w:p>
      <w:pPr>
        <w:pStyle w:val="22"/>
        <w:rPr>
          <w:rFonts w:ascii="Calibri" w:hAnsi="Calibri"/>
          <w:color w:val="auto"/>
          <w:szCs w:val="22"/>
        </w:rPr>
      </w:pPr>
      <w:r>
        <w:rPr>
          <w:rFonts w:ascii="黑体" w:eastAsia="黑体"/>
          <w:color w:val="auto"/>
          <w:spacing w:val="20"/>
          <w:sz w:val="32"/>
        </w:rPr>
        <w:fldChar w:fldCharType="begin"/>
      </w:r>
      <w:r>
        <w:rPr>
          <w:rFonts w:hint="eastAsia" w:ascii="黑体" w:eastAsia="黑体"/>
          <w:color w:val="auto"/>
          <w:spacing w:val="20"/>
          <w:sz w:val="32"/>
        </w:rPr>
        <w:instrText xml:space="preserve">TOC \h \z \u \t "标题 1,2,标题 2,3,标题,1"</w:instrText>
      </w:r>
      <w:r>
        <w:rPr>
          <w:rFonts w:ascii="黑体" w:eastAsia="黑体"/>
          <w:color w:val="auto"/>
          <w:spacing w:val="20"/>
          <w:sz w:val="32"/>
        </w:rPr>
        <w:fldChar w:fldCharType="separate"/>
      </w:r>
      <w:r>
        <w:rPr>
          <w:color w:val="auto"/>
        </w:rPr>
        <w:fldChar w:fldCharType="begin"/>
      </w:r>
      <w:r>
        <w:rPr>
          <w:color w:val="auto"/>
        </w:rPr>
        <w:instrText xml:space="preserve"> HYPERLINK \l "_Toc67558681" </w:instrText>
      </w:r>
      <w:r>
        <w:rPr>
          <w:color w:val="auto"/>
        </w:rPr>
        <w:fldChar w:fldCharType="separate"/>
      </w:r>
      <w:r>
        <w:rPr>
          <w:rStyle w:val="35"/>
          <w:rFonts w:hint="eastAsia"/>
          <w:snapToGrid w:val="0"/>
          <w:color w:val="auto"/>
        </w:rPr>
        <w:t>申明</w:t>
      </w:r>
      <w:r>
        <w:rPr>
          <w:color w:val="auto"/>
        </w:rPr>
        <w:tab/>
      </w:r>
      <w:r>
        <w:rPr>
          <w:color w:val="auto"/>
        </w:rPr>
        <w:fldChar w:fldCharType="begin"/>
      </w:r>
      <w:r>
        <w:rPr>
          <w:color w:val="auto"/>
        </w:rPr>
        <w:instrText xml:space="preserve"> PAGEREF _Toc67558681 \h </w:instrText>
      </w:r>
      <w:r>
        <w:rPr>
          <w:color w:val="auto"/>
        </w:rPr>
        <w:fldChar w:fldCharType="separate"/>
      </w:r>
      <w:r>
        <w:rPr>
          <w:color w:val="auto"/>
        </w:rPr>
        <w:t>2</w:t>
      </w:r>
      <w:r>
        <w:rPr>
          <w:color w:val="auto"/>
        </w:rPr>
        <w:fldChar w:fldCharType="end"/>
      </w:r>
      <w:r>
        <w:rPr>
          <w:color w:val="auto"/>
        </w:rPr>
        <w:fldChar w:fldCharType="end"/>
      </w:r>
    </w:p>
    <w:p>
      <w:pPr>
        <w:pStyle w:val="22"/>
        <w:rPr>
          <w:rFonts w:ascii="Calibri" w:hAnsi="Calibri"/>
          <w:color w:val="auto"/>
          <w:szCs w:val="22"/>
        </w:rPr>
      </w:pPr>
      <w:r>
        <w:rPr>
          <w:color w:val="auto"/>
        </w:rPr>
        <w:fldChar w:fldCharType="begin"/>
      </w:r>
      <w:r>
        <w:rPr>
          <w:color w:val="auto"/>
        </w:rPr>
        <w:instrText xml:space="preserve"> HYPERLINK \l "_Toc67558682" </w:instrText>
      </w:r>
      <w:r>
        <w:rPr>
          <w:color w:val="auto"/>
        </w:rPr>
        <w:fldChar w:fldCharType="separate"/>
      </w:r>
      <w:r>
        <w:rPr>
          <w:rStyle w:val="35"/>
          <w:rFonts w:hint="eastAsia"/>
          <w:snapToGrid w:val="0"/>
          <w:color w:val="auto"/>
        </w:rPr>
        <w:t>第一部分：投标人须知</w:t>
      </w:r>
      <w:r>
        <w:rPr>
          <w:color w:val="auto"/>
        </w:rPr>
        <w:tab/>
      </w:r>
      <w:r>
        <w:rPr>
          <w:color w:val="auto"/>
        </w:rPr>
        <w:fldChar w:fldCharType="begin"/>
      </w:r>
      <w:r>
        <w:rPr>
          <w:color w:val="auto"/>
        </w:rPr>
        <w:instrText xml:space="preserve"> PAGEREF _Toc67558682 \h </w:instrText>
      </w:r>
      <w:r>
        <w:rPr>
          <w:color w:val="auto"/>
        </w:rPr>
        <w:fldChar w:fldCharType="separate"/>
      </w:r>
      <w:r>
        <w:rPr>
          <w:color w:val="auto"/>
        </w:rPr>
        <w:t>3</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"_Toc67558683" </w:instrText>
      </w:r>
      <w:r>
        <w:rPr>
          <w:color w:val="auto"/>
        </w:rPr>
        <w:fldChar w:fldCharType="separate"/>
      </w:r>
      <w:r>
        <w:rPr>
          <w:rStyle w:val="35"/>
          <w:color w:val="auto"/>
        </w:rPr>
        <w:t>1</w:t>
      </w:r>
      <w:r>
        <w:rPr>
          <w:rFonts w:ascii="Calibri" w:hAnsi="Calibri"/>
          <w:color w:val="auto"/>
          <w:szCs w:val="22"/>
        </w:rPr>
        <w:tab/>
      </w:r>
      <w:r>
        <w:rPr>
          <w:rStyle w:val="35"/>
          <w:rFonts w:hint="eastAsia"/>
          <w:color w:val="auto"/>
        </w:rPr>
        <w:t>说明</w:t>
      </w:r>
      <w:r>
        <w:rPr>
          <w:color w:val="auto"/>
        </w:rPr>
        <w:tab/>
      </w:r>
      <w:r>
        <w:rPr>
          <w:color w:val="auto"/>
        </w:rPr>
        <w:fldChar w:fldCharType="begin"/>
      </w:r>
      <w:r>
        <w:rPr>
          <w:color w:val="auto"/>
        </w:rPr>
        <w:instrText xml:space="preserve"> PAGEREF _Toc67558683 \h </w:instrText>
      </w:r>
      <w:r>
        <w:rPr>
          <w:color w:val="auto"/>
        </w:rPr>
        <w:fldChar w:fldCharType="separate"/>
      </w:r>
      <w:r>
        <w:rPr>
          <w:color w:val="auto"/>
        </w:rPr>
        <w:t>3</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"_Toc67558684" </w:instrText>
      </w:r>
      <w:r>
        <w:rPr>
          <w:color w:val="auto"/>
        </w:rPr>
        <w:fldChar w:fldCharType="separate"/>
      </w:r>
      <w:r>
        <w:rPr>
          <w:rStyle w:val="35"/>
          <w:color w:val="auto"/>
        </w:rPr>
        <w:t>1.1</w:t>
      </w:r>
      <w:r>
        <w:rPr>
          <w:rFonts w:ascii="Calibri" w:hAnsi="Calibri"/>
          <w:color w:val="auto"/>
          <w:szCs w:val="22"/>
        </w:rPr>
        <w:tab/>
      </w:r>
      <w:r>
        <w:rPr>
          <w:rStyle w:val="35"/>
          <w:rFonts w:hint="eastAsia"/>
          <w:color w:val="auto"/>
        </w:rPr>
        <w:t>招标项目概要</w:t>
      </w:r>
      <w:r>
        <w:rPr>
          <w:color w:val="auto"/>
        </w:rPr>
        <w:tab/>
      </w:r>
      <w:r>
        <w:rPr>
          <w:color w:val="auto"/>
        </w:rPr>
        <w:fldChar w:fldCharType="begin"/>
      </w:r>
      <w:r>
        <w:rPr>
          <w:color w:val="auto"/>
        </w:rPr>
        <w:instrText xml:space="preserve"> PAGEREF _Toc67558684 \h </w:instrText>
      </w:r>
      <w:r>
        <w:rPr>
          <w:color w:val="auto"/>
        </w:rPr>
        <w:fldChar w:fldCharType="separate"/>
      </w:r>
      <w:r>
        <w:rPr>
          <w:color w:val="auto"/>
        </w:rPr>
        <w:t>3</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"_Toc67558685" </w:instrText>
      </w:r>
      <w:r>
        <w:rPr>
          <w:color w:val="auto"/>
        </w:rPr>
        <w:fldChar w:fldCharType="separate"/>
      </w:r>
      <w:r>
        <w:rPr>
          <w:rStyle w:val="35"/>
          <w:color w:val="auto"/>
        </w:rPr>
        <w:t>1.2</w:t>
      </w:r>
      <w:r>
        <w:rPr>
          <w:rFonts w:ascii="Calibri" w:hAnsi="Calibri"/>
          <w:color w:val="auto"/>
          <w:szCs w:val="22"/>
        </w:rPr>
        <w:tab/>
      </w:r>
      <w:r>
        <w:rPr>
          <w:rStyle w:val="35"/>
          <w:rFonts w:hint="eastAsia"/>
          <w:color w:val="auto"/>
        </w:rPr>
        <w:t>适用范围</w:t>
      </w:r>
      <w:r>
        <w:rPr>
          <w:color w:val="auto"/>
        </w:rPr>
        <w:tab/>
      </w:r>
      <w:r>
        <w:rPr>
          <w:color w:val="auto"/>
        </w:rPr>
        <w:fldChar w:fldCharType="begin"/>
      </w:r>
      <w:r>
        <w:rPr>
          <w:color w:val="auto"/>
        </w:rPr>
        <w:instrText xml:space="preserve"> PAGEREF _Toc67558685 \h </w:instrText>
      </w:r>
      <w:r>
        <w:rPr>
          <w:color w:val="auto"/>
        </w:rPr>
        <w:fldChar w:fldCharType="separate"/>
      </w:r>
      <w:r>
        <w:rPr>
          <w:color w:val="auto"/>
        </w:rPr>
        <w:t>3</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"_Toc67558686" </w:instrText>
      </w:r>
      <w:r>
        <w:rPr>
          <w:color w:val="auto"/>
        </w:rPr>
        <w:fldChar w:fldCharType="separate"/>
      </w:r>
      <w:r>
        <w:rPr>
          <w:rStyle w:val="35"/>
          <w:color w:val="auto"/>
        </w:rPr>
        <w:t>1.3</w:t>
      </w:r>
      <w:r>
        <w:rPr>
          <w:rFonts w:ascii="Calibri" w:hAnsi="Calibri"/>
          <w:color w:val="auto"/>
          <w:szCs w:val="22"/>
        </w:rPr>
        <w:tab/>
      </w:r>
      <w:r>
        <w:rPr>
          <w:rStyle w:val="35"/>
          <w:rFonts w:hint="eastAsia"/>
          <w:color w:val="auto"/>
        </w:rPr>
        <w:t>法律适用</w:t>
      </w:r>
      <w:r>
        <w:rPr>
          <w:color w:val="auto"/>
        </w:rPr>
        <w:tab/>
      </w:r>
      <w:r>
        <w:rPr>
          <w:color w:val="auto"/>
        </w:rPr>
        <w:fldChar w:fldCharType="begin"/>
      </w:r>
      <w:r>
        <w:rPr>
          <w:color w:val="auto"/>
        </w:rPr>
        <w:instrText xml:space="preserve"> PAGEREF _Toc67558686 \h </w:instrText>
      </w:r>
      <w:r>
        <w:rPr>
          <w:color w:val="auto"/>
        </w:rPr>
        <w:fldChar w:fldCharType="separate"/>
      </w:r>
      <w:r>
        <w:rPr>
          <w:color w:val="auto"/>
        </w:rPr>
        <w:t>3</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"_Toc67558687" </w:instrText>
      </w:r>
      <w:r>
        <w:rPr>
          <w:color w:val="auto"/>
        </w:rPr>
        <w:fldChar w:fldCharType="separate"/>
      </w:r>
      <w:r>
        <w:rPr>
          <w:rStyle w:val="35"/>
          <w:color w:val="auto"/>
        </w:rPr>
        <w:t>1.4</w:t>
      </w:r>
      <w:r>
        <w:rPr>
          <w:rFonts w:ascii="Calibri" w:hAnsi="Calibri"/>
          <w:color w:val="auto"/>
          <w:szCs w:val="22"/>
        </w:rPr>
        <w:tab/>
      </w:r>
      <w:r>
        <w:rPr>
          <w:rStyle w:val="35"/>
          <w:rFonts w:hint="eastAsia"/>
          <w:color w:val="auto"/>
        </w:rPr>
        <w:t>定义及解释</w:t>
      </w:r>
      <w:r>
        <w:rPr>
          <w:color w:val="auto"/>
        </w:rPr>
        <w:tab/>
      </w:r>
      <w:r>
        <w:rPr>
          <w:color w:val="auto"/>
        </w:rPr>
        <w:fldChar w:fldCharType="begin"/>
      </w:r>
      <w:r>
        <w:rPr>
          <w:color w:val="auto"/>
        </w:rPr>
        <w:instrText xml:space="preserve"> PAGEREF _Toc67558687 \h </w:instrText>
      </w:r>
      <w:r>
        <w:rPr>
          <w:color w:val="auto"/>
        </w:rPr>
        <w:fldChar w:fldCharType="separate"/>
      </w:r>
      <w:r>
        <w:rPr>
          <w:color w:val="auto"/>
        </w:rPr>
        <w:t>3</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"_Toc67558688" </w:instrText>
      </w:r>
      <w:r>
        <w:rPr>
          <w:color w:val="auto"/>
        </w:rPr>
        <w:fldChar w:fldCharType="separate"/>
      </w:r>
      <w:r>
        <w:rPr>
          <w:rStyle w:val="35"/>
          <w:color w:val="auto"/>
        </w:rPr>
        <w:t>1.5</w:t>
      </w:r>
      <w:r>
        <w:rPr>
          <w:rFonts w:ascii="Calibri" w:hAnsi="Calibri"/>
          <w:color w:val="auto"/>
          <w:szCs w:val="22"/>
        </w:rPr>
        <w:tab/>
      </w:r>
      <w:r>
        <w:rPr>
          <w:rStyle w:val="35"/>
          <w:rFonts w:hint="eastAsia"/>
          <w:color w:val="auto"/>
        </w:rPr>
        <w:t>合格投标人及合格投标设备</w:t>
      </w:r>
      <w:r>
        <w:rPr>
          <w:color w:val="auto"/>
        </w:rPr>
        <w:tab/>
      </w:r>
      <w:r>
        <w:rPr>
          <w:color w:val="auto"/>
        </w:rPr>
        <w:fldChar w:fldCharType="begin"/>
      </w:r>
      <w:r>
        <w:rPr>
          <w:color w:val="auto"/>
        </w:rPr>
        <w:instrText xml:space="preserve"> PAGEREF _Toc67558688 \h </w:instrText>
      </w:r>
      <w:r>
        <w:rPr>
          <w:color w:val="auto"/>
        </w:rPr>
        <w:fldChar w:fldCharType="separate"/>
      </w:r>
      <w:r>
        <w:rPr>
          <w:color w:val="auto"/>
        </w:rPr>
        <w:t>4</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"_Toc67558689" </w:instrText>
      </w:r>
      <w:r>
        <w:rPr>
          <w:color w:val="auto"/>
        </w:rPr>
        <w:fldChar w:fldCharType="separate"/>
      </w:r>
      <w:r>
        <w:rPr>
          <w:rStyle w:val="35"/>
          <w:color w:val="auto"/>
        </w:rPr>
        <w:t>1.6</w:t>
      </w:r>
      <w:r>
        <w:rPr>
          <w:rFonts w:ascii="Calibri" w:hAnsi="Calibri"/>
          <w:color w:val="auto"/>
          <w:szCs w:val="22"/>
        </w:rPr>
        <w:tab/>
      </w:r>
      <w:r>
        <w:rPr>
          <w:rStyle w:val="35"/>
          <w:rFonts w:hint="eastAsia"/>
          <w:color w:val="auto"/>
        </w:rPr>
        <w:t>注意事项</w:t>
      </w:r>
      <w:r>
        <w:rPr>
          <w:color w:val="auto"/>
        </w:rPr>
        <w:tab/>
      </w:r>
      <w:r>
        <w:rPr>
          <w:color w:val="auto"/>
        </w:rPr>
        <w:fldChar w:fldCharType="begin"/>
      </w:r>
      <w:r>
        <w:rPr>
          <w:color w:val="auto"/>
        </w:rPr>
        <w:instrText xml:space="preserve"> PAGEREF _Toc67558689 \h </w:instrText>
      </w:r>
      <w:r>
        <w:rPr>
          <w:color w:val="auto"/>
        </w:rPr>
        <w:fldChar w:fldCharType="separate"/>
      </w:r>
      <w:r>
        <w:rPr>
          <w:color w:val="auto"/>
        </w:rPr>
        <w:t>4</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"_Toc67558690" </w:instrText>
      </w:r>
      <w:r>
        <w:rPr>
          <w:color w:val="auto"/>
        </w:rPr>
        <w:fldChar w:fldCharType="separate"/>
      </w:r>
      <w:r>
        <w:rPr>
          <w:rStyle w:val="35"/>
          <w:color w:val="auto"/>
        </w:rPr>
        <w:t>1.7</w:t>
      </w:r>
      <w:r>
        <w:rPr>
          <w:rFonts w:ascii="Calibri" w:hAnsi="Calibri"/>
          <w:color w:val="auto"/>
          <w:szCs w:val="22"/>
        </w:rPr>
        <w:tab/>
      </w:r>
      <w:r>
        <w:rPr>
          <w:rStyle w:val="35"/>
          <w:rFonts w:hint="eastAsia"/>
          <w:color w:val="auto"/>
        </w:rPr>
        <w:t>保证</w:t>
      </w:r>
      <w:r>
        <w:rPr>
          <w:color w:val="auto"/>
        </w:rPr>
        <w:tab/>
      </w:r>
      <w:r>
        <w:rPr>
          <w:color w:val="auto"/>
        </w:rPr>
        <w:fldChar w:fldCharType="begin"/>
      </w:r>
      <w:r>
        <w:rPr>
          <w:color w:val="auto"/>
        </w:rPr>
        <w:instrText xml:space="preserve"> PAGEREF _Toc67558690 \h </w:instrText>
      </w:r>
      <w:r>
        <w:rPr>
          <w:color w:val="auto"/>
        </w:rPr>
        <w:fldChar w:fldCharType="separate"/>
      </w:r>
      <w:r>
        <w:rPr>
          <w:color w:val="auto"/>
        </w:rPr>
        <w:t>5</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"_Toc67558691" </w:instrText>
      </w:r>
      <w:r>
        <w:rPr>
          <w:color w:val="auto"/>
        </w:rPr>
        <w:fldChar w:fldCharType="separate"/>
      </w:r>
      <w:r>
        <w:rPr>
          <w:rStyle w:val="35"/>
          <w:color w:val="auto"/>
        </w:rPr>
        <w:t>1.8</w:t>
      </w:r>
      <w:r>
        <w:rPr>
          <w:rFonts w:ascii="Calibri" w:hAnsi="Calibri"/>
          <w:color w:val="auto"/>
          <w:szCs w:val="22"/>
        </w:rPr>
        <w:tab/>
      </w:r>
      <w:r>
        <w:rPr>
          <w:rStyle w:val="35"/>
          <w:rFonts w:hint="eastAsia"/>
          <w:color w:val="auto"/>
        </w:rPr>
        <w:t>相关费用</w:t>
      </w:r>
      <w:r>
        <w:rPr>
          <w:color w:val="auto"/>
        </w:rPr>
        <w:tab/>
      </w:r>
      <w:r>
        <w:rPr>
          <w:color w:val="auto"/>
        </w:rPr>
        <w:fldChar w:fldCharType="begin"/>
      </w:r>
      <w:r>
        <w:rPr>
          <w:color w:val="auto"/>
        </w:rPr>
        <w:instrText xml:space="preserve"> PAGEREF _Toc67558691 \h </w:instrText>
      </w:r>
      <w:r>
        <w:rPr>
          <w:color w:val="auto"/>
        </w:rPr>
        <w:fldChar w:fldCharType="separate"/>
      </w:r>
      <w:r>
        <w:rPr>
          <w:color w:val="auto"/>
        </w:rPr>
        <w:t>5</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"_Toc67558692" </w:instrText>
      </w:r>
      <w:r>
        <w:rPr>
          <w:color w:val="auto"/>
        </w:rPr>
        <w:fldChar w:fldCharType="separate"/>
      </w:r>
      <w:r>
        <w:rPr>
          <w:rStyle w:val="35"/>
          <w:color w:val="auto"/>
        </w:rPr>
        <w:t>1.9</w:t>
      </w:r>
      <w:r>
        <w:rPr>
          <w:rFonts w:ascii="Calibri" w:hAnsi="Calibri"/>
          <w:color w:val="auto"/>
          <w:szCs w:val="22"/>
        </w:rPr>
        <w:tab/>
      </w:r>
      <w:r>
        <w:rPr>
          <w:rStyle w:val="35"/>
          <w:rFonts w:hint="eastAsia"/>
          <w:color w:val="auto"/>
        </w:rPr>
        <w:t>其它要求</w:t>
      </w:r>
      <w:r>
        <w:rPr>
          <w:color w:val="auto"/>
        </w:rPr>
        <w:tab/>
      </w:r>
      <w:r>
        <w:rPr>
          <w:color w:val="auto"/>
        </w:rPr>
        <w:fldChar w:fldCharType="begin"/>
      </w:r>
      <w:r>
        <w:rPr>
          <w:color w:val="auto"/>
        </w:rPr>
        <w:instrText xml:space="preserve"> PAGEREF _Toc67558692 \h </w:instrText>
      </w:r>
      <w:r>
        <w:rPr>
          <w:color w:val="auto"/>
        </w:rPr>
        <w:fldChar w:fldCharType="separate"/>
      </w:r>
      <w:r>
        <w:rPr>
          <w:color w:val="auto"/>
        </w:rPr>
        <w:t>5</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"_Toc67558693" </w:instrText>
      </w:r>
      <w:r>
        <w:rPr>
          <w:color w:val="auto"/>
        </w:rPr>
        <w:fldChar w:fldCharType="separate"/>
      </w:r>
      <w:r>
        <w:rPr>
          <w:rStyle w:val="35"/>
          <w:color w:val="auto"/>
        </w:rPr>
        <w:t>2</w:t>
      </w:r>
      <w:r>
        <w:rPr>
          <w:rFonts w:ascii="Calibri" w:hAnsi="Calibri"/>
          <w:color w:val="auto"/>
          <w:szCs w:val="22"/>
        </w:rPr>
        <w:tab/>
      </w:r>
      <w:r>
        <w:rPr>
          <w:rStyle w:val="35"/>
          <w:rFonts w:hint="eastAsia"/>
          <w:color w:val="auto"/>
        </w:rPr>
        <w:t>招标文件</w:t>
      </w:r>
      <w:r>
        <w:rPr>
          <w:color w:val="auto"/>
        </w:rPr>
        <w:tab/>
      </w:r>
      <w:r>
        <w:rPr>
          <w:color w:val="auto"/>
        </w:rPr>
        <w:fldChar w:fldCharType="begin"/>
      </w:r>
      <w:r>
        <w:rPr>
          <w:color w:val="auto"/>
        </w:rPr>
        <w:instrText xml:space="preserve"> PAGEREF _Toc67558693 \h </w:instrText>
      </w:r>
      <w:r>
        <w:rPr>
          <w:color w:val="auto"/>
        </w:rPr>
        <w:fldChar w:fldCharType="separate"/>
      </w:r>
      <w:r>
        <w:rPr>
          <w:color w:val="auto"/>
        </w:rPr>
        <w:t>5</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"_Toc67558694" </w:instrText>
      </w:r>
      <w:r>
        <w:rPr>
          <w:color w:val="auto"/>
        </w:rPr>
        <w:fldChar w:fldCharType="separate"/>
      </w:r>
      <w:r>
        <w:rPr>
          <w:rStyle w:val="35"/>
          <w:color w:val="auto"/>
        </w:rPr>
        <w:t>2.1</w:t>
      </w:r>
      <w:r>
        <w:rPr>
          <w:rFonts w:ascii="Calibri" w:hAnsi="Calibri"/>
          <w:color w:val="auto"/>
          <w:szCs w:val="22"/>
        </w:rPr>
        <w:tab/>
      </w:r>
      <w:r>
        <w:rPr>
          <w:rStyle w:val="35"/>
          <w:rFonts w:hint="eastAsia"/>
          <w:color w:val="auto"/>
        </w:rPr>
        <w:t>招标文件构成</w:t>
      </w:r>
      <w:r>
        <w:rPr>
          <w:color w:val="auto"/>
        </w:rPr>
        <w:tab/>
      </w:r>
      <w:r>
        <w:rPr>
          <w:color w:val="auto"/>
        </w:rPr>
        <w:fldChar w:fldCharType="begin"/>
      </w:r>
      <w:r>
        <w:rPr>
          <w:color w:val="auto"/>
        </w:rPr>
        <w:instrText xml:space="preserve"> PAGEREF _Toc67558694 \h </w:instrText>
      </w:r>
      <w:r>
        <w:rPr>
          <w:color w:val="auto"/>
        </w:rPr>
        <w:fldChar w:fldCharType="separate"/>
      </w:r>
      <w:r>
        <w:rPr>
          <w:color w:val="auto"/>
        </w:rPr>
        <w:t>5</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"_Toc67558695" </w:instrText>
      </w:r>
      <w:r>
        <w:rPr>
          <w:color w:val="auto"/>
        </w:rPr>
        <w:fldChar w:fldCharType="separate"/>
      </w:r>
      <w:r>
        <w:rPr>
          <w:rStyle w:val="35"/>
          <w:color w:val="auto"/>
        </w:rPr>
        <w:t>2.2</w:t>
      </w:r>
      <w:r>
        <w:rPr>
          <w:rFonts w:ascii="Calibri" w:hAnsi="Calibri"/>
          <w:color w:val="auto"/>
          <w:szCs w:val="22"/>
        </w:rPr>
        <w:tab/>
      </w:r>
      <w:r>
        <w:rPr>
          <w:rStyle w:val="35"/>
          <w:rFonts w:hint="eastAsia"/>
          <w:color w:val="auto"/>
        </w:rPr>
        <w:t>招标文件的解释与修改</w:t>
      </w:r>
      <w:r>
        <w:rPr>
          <w:color w:val="auto"/>
        </w:rPr>
        <w:tab/>
      </w:r>
      <w:r>
        <w:rPr>
          <w:color w:val="auto"/>
        </w:rPr>
        <w:fldChar w:fldCharType="begin"/>
      </w:r>
      <w:r>
        <w:rPr>
          <w:color w:val="auto"/>
        </w:rPr>
        <w:instrText xml:space="preserve"> PAGEREF _Toc67558695 \h </w:instrText>
      </w:r>
      <w:r>
        <w:rPr>
          <w:color w:val="auto"/>
        </w:rPr>
        <w:fldChar w:fldCharType="separate"/>
      </w:r>
      <w:r>
        <w:rPr>
          <w:color w:val="auto"/>
        </w:rPr>
        <w:t>5</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"_Toc67558696" </w:instrText>
      </w:r>
      <w:r>
        <w:rPr>
          <w:color w:val="auto"/>
        </w:rPr>
        <w:fldChar w:fldCharType="separate"/>
      </w:r>
      <w:r>
        <w:rPr>
          <w:rStyle w:val="35"/>
          <w:color w:val="auto"/>
        </w:rPr>
        <w:t>3</w:t>
      </w:r>
      <w:r>
        <w:rPr>
          <w:rFonts w:ascii="Calibri" w:hAnsi="Calibri"/>
          <w:color w:val="auto"/>
          <w:szCs w:val="22"/>
        </w:rPr>
        <w:tab/>
      </w:r>
      <w:r>
        <w:rPr>
          <w:rStyle w:val="35"/>
          <w:rFonts w:hint="eastAsia"/>
          <w:color w:val="auto"/>
        </w:rPr>
        <w:t>投标文件的编制</w:t>
      </w:r>
      <w:r>
        <w:rPr>
          <w:color w:val="auto"/>
        </w:rPr>
        <w:tab/>
      </w:r>
      <w:r>
        <w:rPr>
          <w:color w:val="auto"/>
        </w:rPr>
        <w:fldChar w:fldCharType="begin"/>
      </w:r>
      <w:r>
        <w:rPr>
          <w:color w:val="auto"/>
        </w:rPr>
        <w:instrText xml:space="preserve"> PAGEREF _Toc67558696 \h </w:instrText>
      </w:r>
      <w:r>
        <w:rPr>
          <w:color w:val="auto"/>
        </w:rPr>
        <w:fldChar w:fldCharType="separate"/>
      </w:r>
      <w:r>
        <w:rPr>
          <w:color w:val="auto"/>
        </w:rPr>
        <w:t>6</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"_Toc67558697" </w:instrText>
      </w:r>
      <w:r>
        <w:rPr>
          <w:color w:val="auto"/>
        </w:rPr>
        <w:fldChar w:fldCharType="separate"/>
      </w:r>
      <w:r>
        <w:rPr>
          <w:rStyle w:val="35"/>
          <w:color w:val="auto"/>
        </w:rPr>
        <w:t>3.1</w:t>
      </w:r>
      <w:r>
        <w:rPr>
          <w:rFonts w:ascii="Calibri" w:hAnsi="Calibri"/>
          <w:color w:val="auto"/>
          <w:szCs w:val="22"/>
        </w:rPr>
        <w:tab/>
      </w:r>
      <w:r>
        <w:rPr>
          <w:rStyle w:val="35"/>
          <w:rFonts w:hint="eastAsia"/>
          <w:color w:val="auto"/>
        </w:rPr>
        <w:t>投标语言及计量</w:t>
      </w:r>
      <w:r>
        <w:rPr>
          <w:color w:val="auto"/>
        </w:rPr>
        <w:tab/>
      </w:r>
      <w:r>
        <w:rPr>
          <w:color w:val="auto"/>
        </w:rPr>
        <w:fldChar w:fldCharType="begin"/>
      </w:r>
      <w:r>
        <w:rPr>
          <w:color w:val="auto"/>
        </w:rPr>
        <w:instrText xml:space="preserve"> PAGEREF _Toc67558697 \h </w:instrText>
      </w:r>
      <w:r>
        <w:rPr>
          <w:color w:val="auto"/>
        </w:rPr>
        <w:fldChar w:fldCharType="separate"/>
      </w:r>
      <w:r>
        <w:rPr>
          <w:color w:val="auto"/>
        </w:rPr>
        <w:t>6</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"_Toc67558698" </w:instrText>
      </w:r>
      <w:r>
        <w:rPr>
          <w:color w:val="auto"/>
        </w:rPr>
        <w:fldChar w:fldCharType="separate"/>
      </w:r>
      <w:r>
        <w:rPr>
          <w:rStyle w:val="35"/>
          <w:color w:val="auto"/>
        </w:rPr>
        <w:t>3.2</w:t>
      </w:r>
      <w:r>
        <w:rPr>
          <w:rFonts w:ascii="Calibri" w:hAnsi="Calibri"/>
          <w:color w:val="auto"/>
          <w:szCs w:val="22"/>
        </w:rPr>
        <w:tab/>
      </w:r>
      <w:r>
        <w:rPr>
          <w:rStyle w:val="35"/>
          <w:rFonts w:hint="eastAsia"/>
          <w:color w:val="auto"/>
        </w:rPr>
        <w:t>投标文件的式样和签署</w:t>
      </w:r>
      <w:r>
        <w:rPr>
          <w:color w:val="auto"/>
        </w:rPr>
        <w:tab/>
      </w:r>
      <w:r>
        <w:rPr>
          <w:color w:val="auto"/>
        </w:rPr>
        <w:fldChar w:fldCharType="begin"/>
      </w:r>
      <w:r>
        <w:rPr>
          <w:color w:val="auto"/>
        </w:rPr>
        <w:instrText xml:space="preserve"> PAGEREF _Toc67558698 \h </w:instrText>
      </w:r>
      <w:r>
        <w:rPr>
          <w:color w:val="auto"/>
        </w:rPr>
        <w:fldChar w:fldCharType="separate"/>
      </w:r>
      <w:r>
        <w:rPr>
          <w:color w:val="auto"/>
        </w:rPr>
        <w:t>6</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"_Toc67558699" </w:instrText>
      </w:r>
      <w:r>
        <w:rPr>
          <w:color w:val="auto"/>
        </w:rPr>
        <w:fldChar w:fldCharType="separate"/>
      </w:r>
      <w:r>
        <w:rPr>
          <w:rStyle w:val="35"/>
          <w:color w:val="auto"/>
        </w:rPr>
        <w:t>3.3</w:t>
      </w:r>
      <w:r>
        <w:rPr>
          <w:rFonts w:ascii="Calibri" w:hAnsi="Calibri"/>
          <w:color w:val="auto"/>
          <w:szCs w:val="22"/>
        </w:rPr>
        <w:tab/>
      </w:r>
      <w:r>
        <w:rPr>
          <w:rStyle w:val="35"/>
          <w:rFonts w:hint="eastAsia"/>
          <w:color w:val="auto"/>
        </w:rPr>
        <w:t>投标文件的构成</w:t>
      </w:r>
      <w:r>
        <w:rPr>
          <w:color w:val="auto"/>
        </w:rPr>
        <w:tab/>
      </w:r>
      <w:r>
        <w:rPr>
          <w:color w:val="auto"/>
        </w:rPr>
        <w:fldChar w:fldCharType="begin"/>
      </w:r>
      <w:r>
        <w:rPr>
          <w:color w:val="auto"/>
        </w:rPr>
        <w:instrText xml:space="preserve"> PAGEREF _Toc67558699 \h </w:instrText>
      </w:r>
      <w:r>
        <w:rPr>
          <w:color w:val="auto"/>
        </w:rPr>
        <w:fldChar w:fldCharType="separate"/>
      </w:r>
      <w:r>
        <w:rPr>
          <w:color w:val="auto"/>
        </w:rPr>
        <w:t>7</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"_Toc67558700" </w:instrText>
      </w:r>
      <w:r>
        <w:rPr>
          <w:color w:val="auto"/>
        </w:rPr>
        <w:fldChar w:fldCharType="separate"/>
      </w:r>
      <w:r>
        <w:rPr>
          <w:rStyle w:val="35"/>
          <w:color w:val="auto"/>
        </w:rPr>
        <w:t>3.4</w:t>
      </w:r>
      <w:r>
        <w:rPr>
          <w:rFonts w:ascii="Calibri" w:hAnsi="Calibri"/>
          <w:color w:val="auto"/>
          <w:szCs w:val="22"/>
        </w:rPr>
        <w:tab/>
      </w:r>
      <w:r>
        <w:rPr>
          <w:rStyle w:val="35"/>
          <w:rFonts w:hint="eastAsia"/>
          <w:color w:val="auto"/>
        </w:rPr>
        <w:t>投标报价</w:t>
      </w:r>
      <w:r>
        <w:rPr>
          <w:color w:val="auto"/>
        </w:rPr>
        <w:tab/>
      </w:r>
      <w:r>
        <w:rPr>
          <w:color w:val="auto"/>
        </w:rPr>
        <w:fldChar w:fldCharType="begin"/>
      </w:r>
      <w:r>
        <w:rPr>
          <w:color w:val="auto"/>
        </w:rPr>
        <w:instrText xml:space="preserve"> PAGEREF _Toc67558700 \h </w:instrText>
      </w:r>
      <w:r>
        <w:rPr>
          <w:color w:val="auto"/>
        </w:rPr>
        <w:fldChar w:fldCharType="separate"/>
      </w:r>
      <w:r>
        <w:rPr>
          <w:color w:val="auto"/>
        </w:rPr>
        <w:t>8</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"_Toc67558701" </w:instrText>
      </w:r>
      <w:r>
        <w:rPr>
          <w:color w:val="auto"/>
        </w:rPr>
        <w:fldChar w:fldCharType="separate"/>
      </w:r>
      <w:r>
        <w:rPr>
          <w:rStyle w:val="35"/>
          <w:color w:val="auto"/>
        </w:rPr>
        <w:t>3.5</w:t>
      </w:r>
      <w:r>
        <w:rPr>
          <w:rFonts w:ascii="Calibri" w:hAnsi="Calibri"/>
          <w:color w:val="auto"/>
          <w:szCs w:val="22"/>
        </w:rPr>
        <w:tab/>
      </w:r>
      <w:r>
        <w:rPr>
          <w:rStyle w:val="35"/>
          <w:rFonts w:hint="eastAsia"/>
          <w:color w:val="auto"/>
        </w:rPr>
        <w:t>报价货币</w:t>
      </w:r>
      <w:r>
        <w:rPr>
          <w:color w:val="auto"/>
        </w:rPr>
        <w:tab/>
      </w:r>
      <w:r>
        <w:rPr>
          <w:color w:val="auto"/>
        </w:rPr>
        <w:fldChar w:fldCharType="begin"/>
      </w:r>
      <w:r>
        <w:rPr>
          <w:color w:val="auto"/>
        </w:rPr>
        <w:instrText xml:space="preserve"> PAGEREF _Toc67558701 \h </w:instrText>
      </w:r>
      <w:r>
        <w:rPr>
          <w:color w:val="auto"/>
        </w:rPr>
        <w:fldChar w:fldCharType="separate"/>
      </w:r>
      <w:r>
        <w:rPr>
          <w:color w:val="auto"/>
        </w:rPr>
        <w:t>8</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"_Toc67558702" </w:instrText>
      </w:r>
      <w:r>
        <w:rPr>
          <w:color w:val="auto"/>
        </w:rPr>
        <w:fldChar w:fldCharType="separate"/>
      </w:r>
      <w:r>
        <w:rPr>
          <w:rStyle w:val="35"/>
          <w:color w:val="auto"/>
        </w:rPr>
        <w:t>3.6</w:t>
      </w:r>
      <w:r>
        <w:rPr>
          <w:rFonts w:ascii="Calibri" w:hAnsi="Calibri"/>
          <w:color w:val="auto"/>
          <w:szCs w:val="22"/>
        </w:rPr>
        <w:tab/>
      </w:r>
      <w:r>
        <w:rPr>
          <w:rStyle w:val="35"/>
          <w:rFonts w:hint="eastAsia"/>
          <w:color w:val="auto"/>
        </w:rPr>
        <w:t>投标人应递交的有关证明文件</w:t>
      </w:r>
      <w:r>
        <w:rPr>
          <w:color w:val="auto"/>
        </w:rPr>
        <w:tab/>
      </w:r>
      <w:r>
        <w:rPr>
          <w:color w:val="auto"/>
        </w:rPr>
        <w:fldChar w:fldCharType="begin"/>
      </w:r>
      <w:r>
        <w:rPr>
          <w:color w:val="auto"/>
        </w:rPr>
        <w:instrText xml:space="preserve"> PAGEREF _Toc67558702 \h </w:instrText>
      </w:r>
      <w:r>
        <w:rPr>
          <w:color w:val="auto"/>
        </w:rPr>
        <w:fldChar w:fldCharType="separate"/>
      </w:r>
      <w:r>
        <w:rPr>
          <w:color w:val="auto"/>
        </w:rPr>
        <w:t>8</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"_Toc67558703" </w:instrText>
      </w:r>
      <w:r>
        <w:rPr>
          <w:color w:val="auto"/>
        </w:rPr>
        <w:fldChar w:fldCharType="separate"/>
      </w:r>
      <w:r>
        <w:rPr>
          <w:rStyle w:val="35"/>
          <w:color w:val="auto"/>
        </w:rPr>
        <w:t>4</w:t>
      </w:r>
      <w:r>
        <w:rPr>
          <w:rFonts w:ascii="Calibri" w:hAnsi="Calibri"/>
          <w:color w:val="auto"/>
          <w:szCs w:val="22"/>
        </w:rPr>
        <w:tab/>
      </w:r>
      <w:r>
        <w:rPr>
          <w:rStyle w:val="35"/>
          <w:rFonts w:hint="eastAsia"/>
          <w:color w:val="auto"/>
        </w:rPr>
        <w:t>投标文件的递交</w:t>
      </w:r>
      <w:r>
        <w:rPr>
          <w:color w:val="auto"/>
        </w:rPr>
        <w:tab/>
      </w:r>
      <w:r>
        <w:rPr>
          <w:color w:val="auto"/>
        </w:rPr>
        <w:fldChar w:fldCharType="begin"/>
      </w:r>
      <w:r>
        <w:rPr>
          <w:color w:val="auto"/>
        </w:rPr>
        <w:instrText xml:space="preserve"> PAGEREF _Toc67558703 \h </w:instrText>
      </w:r>
      <w:r>
        <w:rPr>
          <w:color w:val="auto"/>
        </w:rPr>
        <w:fldChar w:fldCharType="separate"/>
      </w:r>
      <w:r>
        <w:rPr>
          <w:color w:val="auto"/>
        </w:rPr>
        <w:t>9</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"_Toc67558704" </w:instrText>
      </w:r>
      <w:r>
        <w:rPr>
          <w:color w:val="auto"/>
        </w:rPr>
        <w:fldChar w:fldCharType="separate"/>
      </w:r>
      <w:r>
        <w:rPr>
          <w:rStyle w:val="35"/>
          <w:color w:val="auto"/>
        </w:rPr>
        <w:t>4.1</w:t>
      </w:r>
      <w:r>
        <w:rPr>
          <w:rFonts w:ascii="Calibri" w:hAnsi="Calibri"/>
          <w:color w:val="auto"/>
          <w:szCs w:val="22"/>
        </w:rPr>
        <w:tab/>
      </w:r>
      <w:r>
        <w:rPr>
          <w:rStyle w:val="35"/>
          <w:rFonts w:hint="eastAsia"/>
          <w:color w:val="auto"/>
        </w:rPr>
        <w:t>投标文件的密封和标记</w:t>
      </w:r>
      <w:r>
        <w:rPr>
          <w:color w:val="auto"/>
        </w:rPr>
        <w:tab/>
      </w:r>
      <w:r>
        <w:rPr>
          <w:color w:val="auto"/>
        </w:rPr>
        <w:fldChar w:fldCharType="begin"/>
      </w:r>
      <w:r>
        <w:rPr>
          <w:color w:val="auto"/>
        </w:rPr>
        <w:instrText xml:space="preserve"> PAGEREF _Toc67558704 \h </w:instrText>
      </w:r>
      <w:r>
        <w:rPr>
          <w:color w:val="auto"/>
        </w:rPr>
        <w:fldChar w:fldCharType="separate"/>
      </w:r>
      <w:r>
        <w:rPr>
          <w:color w:val="auto"/>
        </w:rPr>
        <w:t>9</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"_Toc67558705" </w:instrText>
      </w:r>
      <w:r>
        <w:rPr>
          <w:color w:val="auto"/>
        </w:rPr>
        <w:fldChar w:fldCharType="separate"/>
      </w:r>
      <w:r>
        <w:rPr>
          <w:rStyle w:val="35"/>
          <w:color w:val="auto"/>
        </w:rPr>
        <w:t>4.2</w:t>
      </w:r>
      <w:r>
        <w:rPr>
          <w:rFonts w:ascii="Calibri" w:hAnsi="Calibri"/>
          <w:color w:val="auto"/>
          <w:szCs w:val="22"/>
        </w:rPr>
        <w:tab/>
      </w:r>
      <w:r>
        <w:rPr>
          <w:rStyle w:val="35"/>
          <w:rFonts w:hint="eastAsia"/>
          <w:color w:val="auto"/>
        </w:rPr>
        <w:t>重要须知</w:t>
      </w:r>
      <w:r>
        <w:rPr>
          <w:color w:val="auto"/>
        </w:rPr>
        <w:tab/>
      </w:r>
      <w:r>
        <w:rPr>
          <w:color w:val="auto"/>
        </w:rPr>
        <w:fldChar w:fldCharType="begin"/>
      </w:r>
      <w:r>
        <w:rPr>
          <w:color w:val="auto"/>
        </w:rPr>
        <w:instrText xml:space="preserve"> PAGEREF _Toc67558705 \h </w:instrText>
      </w:r>
      <w:r>
        <w:rPr>
          <w:color w:val="auto"/>
        </w:rPr>
        <w:fldChar w:fldCharType="separate"/>
      </w:r>
      <w:r>
        <w:rPr>
          <w:color w:val="auto"/>
        </w:rPr>
        <w:t>9</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"_Toc67558706" </w:instrText>
      </w:r>
      <w:r>
        <w:rPr>
          <w:color w:val="auto"/>
        </w:rPr>
        <w:fldChar w:fldCharType="separate"/>
      </w:r>
      <w:r>
        <w:rPr>
          <w:rStyle w:val="35"/>
          <w:color w:val="auto"/>
        </w:rPr>
        <w:t>5</w:t>
      </w:r>
      <w:r>
        <w:rPr>
          <w:rFonts w:ascii="Calibri" w:hAnsi="Calibri"/>
          <w:color w:val="auto"/>
          <w:szCs w:val="22"/>
        </w:rPr>
        <w:tab/>
      </w:r>
      <w:r>
        <w:rPr>
          <w:rStyle w:val="35"/>
          <w:rFonts w:hint="eastAsia"/>
          <w:color w:val="auto"/>
        </w:rPr>
        <w:t>知识产权</w:t>
      </w:r>
      <w:r>
        <w:rPr>
          <w:color w:val="auto"/>
        </w:rPr>
        <w:tab/>
      </w:r>
      <w:r>
        <w:rPr>
          <w:color w:val="auto"/>
        </w:rPr>
        <w:fldChar w:fldCharType="begin"/>
      </w:r>
      <w:r>
        <w:rPr>
          <w:color w:val="auto"/>
        </w:rPr>
        <w:instrText xml:space="preserve"> PAGEREF _Toc67558706 \h </w:instrText>
      </w:r>
      <w:r>
        <w:rPr>
          <w:color w:val="auto"/>
        </w:rPr>
        <w:fldChar w:fldCharType="separate"/>
      </w:r>
      <w:r>
        <w:rPr>
          <w:color w:val="auto"/>
        </w:rPr>
        <w:t>10</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"_Toc67558707" </w:instrText>
      </w:r>
      <w:r>
        <w:rPr>
          <w:color w:val="auto"/>
        </w:rPr>
        <w:fldChar w:fldCharType="separate"/>
      </w:r>
      <w:r>
        <w:rPr>
          <w:rStyle w:val="35"/>
          <w:color w:val="auto"/>
        </w:rPr>
        <w:t>6</w:t>
      </w:r>
      <w:r>
        <w:rPr>
          <w:rFonts w:ascii="Calibri" w:hAnsi="Calibri"/>
          <w:color w:val="auto"/>
          <w:szCs w:val="22"/>
        </w:rPr>
        <w:tab/>
      </w:r>
      <w:r>
        <w:rPr>
          <w:rStyle w:val="35"/>
          <w:rFonts w:hint="eastAsia"/>
          <w:color w:val="auto"/>
        </w:rPr>
        <w:t>投标文件评审</w:t>
      </w:r>
      <w:r>
        <w:rPr>
          <w:color w:val="auto"/>
        </w:rPr>
        <w:tab/>
      </w:r>
      <w:r>
        <w:rPr>
          <w:color w:val="auto"/>
        </w:rPr>
        <w:fldChar w:fldCharType="begin"/>
      </w:r>
      <w:r>
        <w:rPr>
          <w:color w:val="auto"/>
        </w:rPr>
        <w:instrText xml:space="preserve"> PAGEREF _Toc67558707 \h </w:instrText>
      </w:r>
      <w:r>
        <w:rPr>
          <w:color w:val="auto"/>
        </w:rPr>
        <w:fldChar w:fldCharType="separate"/>
      </w:r>
      <w:r>
        <w:rPr>
          <w:color w:val="auto"/>
        </w:rPr>
        <w:t>10</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"_Toc67558708" </w:instrText>
      </w:r>
      <w:r>
        <w:rPr>
          <w:color w:val="auto"/>
        </w:rPr>
        <w:fldChar w:fldCharType="separate"/>
      </w:r>
      <w:r>
        <w:rPr>
          <w:rStyle w:val="35"/>
          <w:color w:val="auto"/>
        </w:rPr>
        <w:t>6.1</w:t>
      </w:r>
      <w:r>
        <w:rPr>
          <w:rFonts w:ascii="Calibri" w:hAnsi="Calibri"/>
          <w:color w:val="auto"/>
          <w:szCs w:val="22"/>
        </w:rPr>
        <w:tab/>
      </w:r>
      <w:r>
        <w:rPr>
          <w:rStyle w:val="35"/>
          <w:rFonts w:hint="eastAsia"/>
          <w:color w:val="auto"/>
        </w:rPr>
        <w:t>评标</w:t>
      </w:r>
      <w:r>
        <w:rPr>
          <w:color w:val="auto"/>
        </w:rPr>
        <w:tab/>
      </w:r>
      <w:r>
        <w:rPr>
          <w:color w:val="auto"/>
        </w:rPr>
        <w:fldChar w:fldCharType="begin"/>
      </w:r>
      <w:r>
        <w:rPr>
          <w:color w:val="auto"/>
        </w:rPr>
        <w:instrText xml:space="preserve"> PAGEREF _Toc67558708 \h </w:instrText>
      </w:r>
      <w:r>
        <w:rPr>
          <w:color w:val="auto"/>
        </w:rPr>
        <w:fldChar w:fldCharType="separate"/>
      </w:r>
      <w:r>
        <w:rPr>
          <w:color w:val="auto"/>
        </w:rPr>
        <w:t>10</w:t>
      </w:r>
      <w:r>
        <w:rPr>
          <w:color w:val="auto"/>
        </w:rPr>
        <w:fldChar w:fldCharType="end"/>
      </w:r>
      <w:r>
        <w:rPr>
          <w:color w:val="auto"/>
        </w:rPr>
        <w:fldChar w:fldCharType="end"/>
      </w:r>
    </w:p>
    <w:p>
      <w:pPr>
        <w:pStyle w:val="17"/>
        <w:tabs>
          <w:tab w:val="left" w:pos="1470"/>
          <w:tab w:val="right" w:leader="dot" w:pos="9232"/>
        </w:tabs>
        <w:rPr>
          <w:rFonts w:ascii="Calibri" w:hAnsi="Calibri"/>
          <w:color w:val="auto"/>
          <w:szCs w:val="22"/>
        </w:rPr>
      </w:pPr>
      <w:r>
        <w:rPr>
          <w:color w:val="auto"/>
        </w:rPr>
        <w:fldChar w:fldCharType="begin"/>
      </w:r>
      <w:r>
        <w:rPr>
          <w:color w:val="auto"/>
        </w:rPr>
        <w:instrText xml:space="preserve"> HYPERLINK \l "_Toc67558709" </w:instrText>
      </w:r>
      <w:r>
        <w:rPr>
          <w:color w:val="auto"/>
        </w:rPr>
        <w:fldChar w:fldCharType="separate"/>
      </w:r>
      <w:r>
        <w:rPr>
          <w:rStyle w:val="35"/>
          <w:color w:val="auto"/>
        </w:rPr>
        <w:t>6.2</w:t>
      </w:r>
      <w:r>
        <w:rPr>
          <w:rFonts w:ascii="Calibri" w:hAnsi="Calibri"/>
          <w:color w:val="auto"/>
          <w:szCs w:val="22"/>
        </w:rPr>
        <w:tab/>
      </w:r>
      <w:r>
        <w:rPr>
          <w:rStyle w:val="35"/>
          <w:rFonts w:hint="eastAsia"/>
          <w:color w:val="auto"/>
        </w:rPr>
        <w:t>其他事项</w:t>
      </w:r>
      <w:r>
        <w:rPr>
          <w:color w:val="auto"/>
        </w:rPr>
        <w:tab/>
      </w:r>
      <w:r>
        <w:rPr>
          <w:color w:val="auto"/>
        </w:rPr>
        <w:fldChar w:fldCharType="begin"/>
      </w:r>
      <w:r>
        <w:rPr>
          <w:color w:val="auto"/>
        </w:rPr>
        <w:instrText xml:space="preserve"> PAGEREF _Toc67558709 \h </w:instrText>
      </w:r>
      <w:r>
        <w:rPr>
          <w:color w:val="auto"/>
        </w:rPr>
        <w:fldChar w:fldCharType="separate"/>
      </w:r>
      <w:r>
        <w:rPr>
          <w:color w:val="auto"/>
        </w:rPr>
        <w:t>10</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"_Toc67558710" </w:instrText>
      </w:r>
      <w:r>
        <w:rPr>
          <w:color w:val="auto"/>
        </w:rPr>
        <w:fldChar w:fldCharType="separate"/>
      </w:r>
      <w:r>
        <w:rPr>
          <w:rStyle w:val="35"/>
          <w:color w:val="auto"/>
        </w:rPr>
        <w:t>7</w:t>
      </w:r>
      <w:r>
        <w:rPr>
          <w:rFonts w:ascii="Calibri" w:hAnsi="Calibri"/>
          <w:color w:val="auto"/>
          <w:szCs w:val="22"/>
        </w:rPr>
        <w:tab/>
      </w:r>
      <w:r>
        <w:rPr>
          <w:rStyle w:val="35"/>
          <w:rFonts w:hint="eastAsia"/>
          <w:color w:val="auto"/>
        </w:rPr>
        <w:t>招标文件的解释</w:t>
      </w:r>
      <w:r>
        <w:rPr>
          <w:color w:val="auto"/>
        </w:rPr>
        <w:tab/>
      </w:r>
      <w:r>
        <w:rPr>
          <w:color w:val="auto"/>
        </w:rPr>
        <w:fldChar w:fldCharType="begin"/>
      </w:r>
      <w:r>
        <w:rPr>
          <w:color w:val="auto"/>
        </w:rPr>
        <w:instrText xml:space="preserve"> PAGEREF _Toc67558710 \h </w:instrText>
      </w:r>
      <w:r>
        <w:rPr>
          <w:color w:val="auto"/>
        </w:rPr>
        <w:fldChar w:fldCharType="separate"/>
      </w:r>
      <w:r>
        <w:rPr>
          <w:color w:val="auto"/>
        </w:rPr>
        <w:t>11</w:t>
      </w:r>
      <w:r>
        <w:rPr>
          <w:color w:val="auto"/>
        </w:rPr>
        <w:fldChar w:fldCharType="end"/>
      </w:r>
      <w:r>
        <w:rPr>
          <w:color w:val="auto"/>
        </w:rPr>
        <w:fldChar w:fldCharType="end"/>
      </w:r>
    </w:p>
    <w:p>
      <w:pPr>
        <w:pStyle w:val="22"/>
        <w:rPr>
          <w:rFonts w:ascii="Calibri" w:hAnsi="Calibri"/>
          <w:color w:val="auto"/>
          <w:szCs w:val="22"/>
        </w:rPr>
      </w:pPr>
      <w:r>
        <w:rPr>
          <w:color w:val="auto"/>
        </w:rPr>
        <w:fldChar w:fldCharType="begin"/>
      </w:r>
      <w:r>
        <w:rPr>
          <w:color w:val="auto"/>
        </w:rPr>
        <w:instrText xml:space="preserve"> HYPERLINK \l "_Toc67558711" </w:instrText>
      </w:r>
      <w:r>
        <w:rPr>
          <w:color w:val="auto"/>
        </w:rPr>
        <w:fldChar w:fldCharType="separate"/>
      </w:r>
      <w:r>
        <w:rPr>
          <w:rStyle w:val="35"/>
          <w:rFonts w:hint="eastAsia"/>
          <w:snapToGrid w:val="0"/>
          <w:color w:val="auto"/>
        </w:rPr>
        <w:t>第二部分：产品需求说明书</w:t>
      </w:r>
      <w:r>
        <w:rPr>
          <w:color w:val="auto"/>
        </w:rPr>
        <w:tab/>
      </w:r>
      <w:r>
        <w:rPr>
          <w:color w:val="auto"/>
        </w:rPr>
        <w:fldChar w:fldCharType="begin"/>
      </w:r>
      <w:r>
        <w:rPr>
          <w:color w:val="auto"/>
        </w:rPr>
        <w:instrText xml:space="preserve"> PAGEREF _Toc67558711 \h </w:instrText>
      </w:r>
      <w:r>
        <w:rPr>
          <w:color w:val="auto"/>
        </w:rPr>
        <w:fldChar w:fldCharType="separate"/>
      </w:r>
      <w:r>
        <w:rPr>
          <w:color w:val="auto"/>
        </w:rPr>
        <w:t>11</w:t>
      </w:r>
      <w:r>
        <w:rPr>
          <w:color w:val="auto"/>
        </w:rPr>
        <w:fldChar w:fldCharType="end"/>
      </w:r>
      <w:r>
        <w:rPr>
          <w:color w:val="auto"/>
        </w:rPr>
        <w:fldChar w:fldCharType="end"/>
      </w:r>
    </w:p>
    <w:p>
      <w:pPr>
        <w:pStyle w:val="24"/>
        <w:tabs>
          <w:tab w:val="left" w:pos="1050"/>
          <w:tab w:val="right" w:leader="dot" w:pos="9232"/>
        </w:tabs>
        <w:rPr>
          <w:rFonts w:ascii="Calibri" w:hAnsi="Calibri"/>
          <w:color w:val="auto"/>
          <w:szCs w:val="22"/>
        </w:rPr>
      </w:pPr>
      <w:r>
        <w:rPr>
          <w:color w:val="auto"/>
        </w:rPr>
        <w:fldChar w:fldCharType="begin"/>
      </w:r>
      <w:r>
        <w:rPr>
          <w:color w:val="auto"/>
        </w:rPr>
        <w:instrText xml:space="preserve"> HYPERLINK \l "_Toc67558712" </w:instrText>
      </w:r>
      <w:r>
        <w:rPr>
          <w:color w:val="auto"/>
        </w:rPr>
        <w:fldChar w:fldCharType="separate"/>
      </w:r>
      <w:r>
        <w:rPr>
          <w:rStyle w:val="35"/>
          <w:rFonts w:hint="eastAsia"/>
          <w:color w:val="auto"/>
        </w:rPr>
        <w:t>(一)</w:t>
      </w:r>
      <w:r>
        <w:rPr>
          <w:rFonts w:ascii="Calibri" w:hAnsi="Calibri"/>
          <w:color w:val="auto"/>
          <w:szCs w:val="22"/>
        </w:rPr>
        <w:tab/>
      </w:r>
      <w:r>
        <w:rPr>
          <w:rStyle w:val="35"/>
          <w:rFonts w:hint="eastAsia"/>
          <w:color w:val="auto"/>
        </w:rPr>
        <w:t>招标内容清单及技术参数</w:t>
      </w:r>
      <w:r>
        <w:rPr>
          <w:color w:val="auto"/>
        </w:rPr>
        <w:tab/>
      </w:r>
      <w:r>
        <w:rPr>
          <w:color w:val="auto"/>
        </w:rPr>
        <w:fldChar w:fldCharType="begin"/>
      </w:r>
      <w:r>
        <w:rPr>
          <w:color w:val="auto"/>
        </w:rPr>
        <w:instrText xml:space="preserve"> PAGEREF _Toc67558712 \h </w:instrText>
      </w:r>
      <w:r>
        <w:rPr>
          <w:color w:val="auto"/>
        </w:rPr>
        <w:fldChar w:fldCharType="separate"/>
      </w:r>
      <w:r>
        <w:rPr>
          <w:color w:val="auto"/>
        </w:rPr>
        <w:t>11</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"_Toc67558713" </w:instrText>
      </w:r>
      <w:r>
        <w:rPr>
          <w:color w:val="auto"/>
        </w:rPr>
        <w:fldChar w:fldCharType="separate"/>
      </w:r>
      <w:r>
        <w:rPr>
          <w:rStyle w:val="35"/>
          <w:color w:val="auto"/>
        </w:rPr>
        <w:t>1.</w:t>
      </w:r>
      <w:r>
        <w:rPr>
          <w:rFonts w:ascii="Calibri" w:hAnsi="Calibri"/>
          <w:color w:val="auto"/>
          <w:szCs w:val="22"/>
        </w:rPr>
        <w:tab/>
      </w:r>
      <w:r>
        <w:rPr>
          <w:rStyle w:val="35"/>
          <w:rFonts w:hint="eastAsia"/>
          <w:color w:val="auto"/>
        </w:rPr>
        <w:t>招标产品：</w:t>
      </w:r>
      <w:r>
        <w:rPr>
          <w:color w:val="auto"/>
        </w:rPr>
        <w:tab/>
      </w:r>
      <w:r>
        <w:rPr>
          <w:color w:val="auto"/>
        </w:rPr>
        <w:fldChar w:fldCharType="begin"/>
      </w:r>
      <w:r>
        <w:rPr>
          <w:color w:val="auto"/>
        </w:rPr>
        <w:instrText xml:space="preserve"> PAGEREF _Toc67558713 \h </w:instrText>
      </w:r>
      <w:r>
        <w:rPr>
          <w:color w:val="auto"/>
        </w:rPr>
        <w:fldChar w:fldCharType="separate"/>
      </w:r>
      <w:r>
        <w:rPr>
          <w:color w:val="auto"/>
        </w:rPr>
        <w:t>11</w:t>
      </w:r>
      <w:r>
        <w:rPr>
          <w:color w:val="auto"/>
        </w:rPr>
        <w:fldChar w:fldCharType="end"/>
      </w:r>
      <w:r>
        <w:rPr>
          <w:color w:val="auto"/>
        </w:rPr>
        <w:fldChar w:fldCharType="end"/>
      </w:r>
    </w:p>
    <w:p>
      <w:pPr>
        <w:pStyle w:val="24"/>
        <w:tabs>
          <w:tab w:val="left" w:pos="840"/>
          <w:tab w:val="right" w:leader="dot" w:pos="9232"/>
        </w:tabs>
        <w:rPr>
          <w:rFonts w:ascii="Calibri" w:hAnsi="Calibri"/>
          <w:color w:val="auto"/>
          <w:szCs w:val="22"/>
        </w:rPr>
      </w:pPr>
      <w:r>
        <w:rPr>
          <w:color w:val="auto"/>
        </w:rPr>
        <w:fldChar w:fldCharType="begin"/>
      </w:r>
      <w:r>
        <w:rPr>
          <w:color w:val="auto"/>
        </w:rPr>
        <w:instrText xml:space="preserve"> HYPERLINK \l "_Toc67558714" </w:instrText>
      </w:r>
      <w:r>
        <w:rPr>
          <w:color w:val="auto"/>
        </w:rPr>
        <w:fldChar w:fldCharType="separate"/>
      </w:r>
      <w:r>
        <w:rPr>
          <w:rStyle w:val="35"/>
          <w:color w:val="auto"/>
        </w:rPr>
        <w:t>2.</w:t>
      </w:r>
      <w:r>
        <w:rPr>
          <w:rFonts w:ascii="Calibri" w:hAnsi="Calibri"/>
          <w:color w:val="auto"/>
          <w:szCs w:val="22"/>
        </w:rPr>
        <w:tab/>
      </w:r>
      <w:r>
        <w:rPr>
          <w:rStyle w:val="35"/>
          <w:rFonts w:hint="eastAsia"/>
          <w:color w:val="auto"/>
        </w:rPr>
        <w:t>产品要求</w:t>
      </w:r>
      <w:r>
        <w:rPr>
          <w:color w:val="auto"/>
        </w:rPr>
        <w:tab/>
      </w:r>
      <w:r>
        <w:rPr>
          <w:color w:val="auto"/>
        </w:rPr>
        <w:fldChar w:fldCharType="begin"/>
      </w:r>
      <w:r>
        <w:rPr>
          <w:color w:val="auto"/>
        </w:rPr>
        <w:instrText xml:space="preserve"> PAGEREF _Toc67558714 \h </w:instrText>
      </w:r>
      <w:r>
        <w:rPr>
          <w:color w:val="auto"/>
        </w:rPr>
        <w:fldChar w:fldCharType="separate"/>
      </w:r>
      <w:r>
        <w:rPr>
          <w:color w:val="auto"/>
        </w:rPr>
        <w:t>11</w:t>
      </w:r>
      <w:r>
        <w:rPr>
          <w:color w:val="auto"/>
        </w:rPr>
        <w:fldChar w:fldCharType="end"/>
      </w:r>
      <w:r>
        <w:rPr>
          <w:color w:val="auto"/>
        </w:rPr>
        <w:fldChar w:fldCharType="end"/>
      </w:r>
    </w:p>
    <w:p>
      <w:pPr>
        <w:pStyle w:val="24"/>
        <w:tabs>
          <w:tab w:val="right" w:leader="dot" w:pos="9232"/>
        </w:tabs>
        <w:rPr>
          <w:rFonts w:ascii="Calibri" w:hAnsi="Calibri"/>
          <w:color w:val="auto"/>
          <w:szCs w:val="22"/>
        </w:rPr>
      </w:pPr>
      <w:r>
        <w:rPr>
          <w:color w:val="auto"/>
        </w:rPr>
        <w:fldChar w:fldCharType="begin"/>
      </w:r>
      <w:r>
        <w:rPr>
          <w:color w:val="auto"/>
        </w:rPr>
        <w:instrText xml:space="preserve"> HYPERLINK \l "_Toc67558715" </w:instrText>
      </w:r>
      <w:r>
        <w:rPr>
          <w:color w:val="auto"/>
        </w:rPr>
        <w:fldChar w:fldCharType="separate"/>
      </w:r>
      <w:r>
        <w:rPr>
          <w:rStyle w:val="35"/>
          <w:color w:val="auto"/>
        </w:rPr>
        <w:t>3.</w:t>
      </w:r>
      <w:r>
        <w:rPr>
          <w:rStyle w:val="35"/>
          <w:rFonts w:hint="eastAsia"/>
          <w:color w:val="auto"/>
        </w:rPr>
        <w:t>技术规范</w:t>
      </w:r>
      <w:r>
        <w:rPr>
          <w:color w:val="auto"/>
        </w:rPr>
        <w:tab/>
      </w:r>
      <w:r>
        <w:rPr>
          <w:color w:val="auto"/>
        </w:rPr>
        <w:fldChar w:fldCharType="begin"/>
      </w:r>
      <w:r>
        <w:rPr>
          <w:color w:val="auto"/>
        </w:rPr>
        <w:instrText xml:space="preserve"> PAGEREF _Toc67558715 \h </w:instrText>
      </w:r>
      <w:r>
        <w:rPr>
          <w:color w:val="auto"/>
        </w:rPr>
        <w:fldChar w:fldCharType="separate"/>
      </w:r>
      <w:r>
        <w:rPr>
          <w:color w:val="auto"/>
        </w:rPr>
        <w:t>17</w:t>
      </w:r>
      <w:r>
        <w:rPr>
          <w:color w:val="auto"/>
        </w:rPr>
        <w:fldChar w:fldCharType="end"/>
      </w:r>
      <w:r>
        <w:rPr>
          <w:color w:val="auto"/>
        </w:rPr>
        <w:fldChar w:fldCharType="end"/>
      </w:r>
    </w:p>
    <w:p>
      <w:pPr>
        <w:pStyle w:val="24"/>
        <w:tabs>
          <w:tab w:val="right" w:leader="dot" w:pos="9232"/>
        </w:tabs>
        <w:rPr>
          <w:rFonts w:ascii="Calibri" w:hAnsi="Calibri"/>
          <w:color w:val="auto"/>
          <w:szCs w:val="22"/>
        </w:rPr>
      </w:pPr>
      <w:r>
        <w:rPr>
          <w:color w:val="auto"/>
        </w:rPr>
        <w:fldChar w:fldCharType="begin"/>
      </w:r>
      <w:r>
        <w:rPr>
          <w:color w:val="auto"/>
        </w:rPr>
        <w:instrText xml:space="preserve"> HYPERLINK \l "_Toc67558716" </w:instrText>
      </w:r>
      <w:r>
        <w:rPr>
          <w:color w:val="auto"/>
        </w:rPr>
        <w:fldChar w:fldCharType="separate"/>
      </w:r>
      <w:r>
        <w:rPr>
          <w:rStyle w:val="35"/>
          <w:color w:val="auto"/>
        </w:rPr>
        <w:t>4.</w:t>
      </w:r>
      <w:r>
        <w:rPr>
          <w:rStyle w:val="35"/>
          <w:rFonts w:hint="eastAsia"/>
          <w:color w:val="auto"/>
        </w:rPr>
        <w:t>服务响应和售后服务要求</w:t>
      </w:r>
      <w:r>
        <w:rPr>
          <w:color w:val="auto"/>
        </w:rPr>
        <w:tab/>
      </w:r>
      <w:r>
        <w:rPr>
          <w:color w:val="auto"/>
        </w:rPr>
        <w:fldChar w:fldCharType="begin"/>
      </w:r>
      <w:r>
        <w:rPr>
          <w:color w:val="auto"/>
        </w:rPr>
        <w:instrText xml:space="preserve"> PAGEREF _Toc67558716 \h </w:instrText>
      </w:r>
      <w:r>
        <w:rPr>
          <w:color w:val="auto"/>
        </w:rPr>
        <w:fldChar w:fldCharType="separate"/>
      </w:r>
      <w:r>
        <w:rPr>
          <w:color w:val="auto"/>
        </w:rPr>
        <w:t>18</w:t>
      </w:r>
      <w:r>
        <w:rPr>
          <w:color w:val="auto"/>
        </w:rPr>
        <w:fldChar w:fldCharType="end"/>
      </w:r>
      <w:r>
        <w:rPr>
          <w:color w:val="auto"/>
        </w:rPr>
        <w:fldChar w:fldCharType="end"/>
      </w:r>
    </w:p>
    <w:p>
      <w:pPr>
        <w:pStyle w:val="22"/>
        <w:rPr>
          <w:rFonts w:ascii="Calibri" w:hAnsi="Calibri"/>
          <w:color w:val="auto"/>
          <w:szCs w:val="22"/>
        </w:rPr>
      </w:pPr>
      <w:r>
        <w:rPr>
          <w:color w:val="auto"/>
        </w:rPr>
        <w:fldChar w:fldCharType="begin"/>
      </w:r>
      <w:r>
        <w:rPr>
          <w:color w:val="auto"/>
        </w:rPr>
        <w:instrText xml:space="preserve"> HYPERLINK \l "_Toc67558717" </w:instrText>
      </w:r>
      <w:r>
        <w:rPr>
          <w:color w:val="auto"/>
        </w:rPr>
        <w:fldChar w:fldCharType="separate"/>
      </w:r>
      <w:r>
        <w:rPr>
          <w:rStyle w:val="35"/>
          <w:rFonts w:hint="eastAsia"/>
          <w:snapToGrid w:val="0"/>
          <w:color w:val="auto"/>
        </w:rPr>
        <w:t>第三部分：投标文件格式</w:t>
      </w:r>
      <w:r>
        <w:rPr>
          <w:rStyle w:val="35"/>
          <w:rFonts w:hint="eastAsia"/>
          <w:color w:val="auto"/>
        </w:rPr>
        <w:t>投标函格式</w:t>
      </w:r>
      <w:r>
        <w:rPr>
          <w:color w:val="auto"/>
        </w:rPr>
        <w:tab/>
      </w:r>
      <w:r>
        <w:rPr>
          <w:color w:val="auto"/>
        </w:rPr>
        <w:fldChar w:fldCharType="begin"/>
      </w:r>
      <w:r>
        <w:rPr>
          <w:color w:val="auto"/>
        </w:rPr>
        <w:instrText xml:space="preserve"> PAGEREF _Toc67558717 \h </w:instrText>
      </w:r>
      <w:r>
        <w:rPr>
          <w:color w:val="auto"/>
        </w:rPr>
        <w:fldChar w:fldCharType="separate"/>
      </w:r>
      <w:r>
        <w:rPr>
          <w:color w:val="auto"/>
        </w:rPr>
        <w:t>18</w:t>
      </w:r>
      <w:r>
        <w:rPr>
          <w:color w:val="auto"/>
        </w:rPr>
        <w:fldChar w:fldCharType="end"/>
      </w:r>
      <w:r>
        <w:rPr>
          <w:color w:val="auto"/>
        </w:rPr>
        <w:fldChar w:fldCharType="end"/>
      </w:r>
    </w:p>
    <w:p>
      <w:pPr>
        <w:pStyle w:val="24"/>
        <w:tabs>
          <w:tab w:val="left" w:pos="1050"/>
          <w:tab w:val="right" w:leader="dot" w:pos="9232"/>
        </w:tabs>
        <w:rPr>
          <w:rFonts w:ascii="Calibri" w:hAnsi="Calibri"/>
          <w:color w:val="auto"/>
          <w:szCs w:val="22"/>
        </w:rPr>
      </w:pPr>
      <w:r>
        <w:rPr>
          <w:color w:val="auto"/>
        </w:rPr>
        <w:fldChar w:fldCharType="begin"/>
      </w:r>
      <w:r>
        <w:rPr>
          <w:color w:val="auto"/>
        </w:rPr>
        <w:instrText xml:space="preserve"> HYPERLINK \l "_Toc67558718" </w:instrText>
      </w:r>
      <w:r>
        <w:rPr>
          <w:color w:val="auto"/>
        </w:rPr>
        <w:fldChar w:fldCharType="separate"/>
      </w:r>
      <w:r>
        <w:rPr>
          <w:rStyle w:val="35"/>
          <w:rFonts w:hint="eastAsia"/>
          <w:color w:val="auto"/>
        </w:rPr>
        <w:t>(一)</w:t>
      </w:r>
      <w:r>
        <w:rPr>
          <w:rFonts w:ascii="Calibri" w:hAnsi="Calibri"/>
          <w:color w:val="auto"/>
          <w:szCs w:val="22"/>
        </w:rPr>
        <w:tab/>
      </w:r>
      <w:r>
        <w:rPr>
          <w:rStyle w:val="35"/>
          <w:rFonts w:hint="eastAsia"/>
          <w:color w:val="auto"/>
        </w:rPr>
        <w:t>投标函</w:t>
      </w:r>
      <w:r>
        <w:rPr>
          <w:color w:val="auto"/>
        </w:rPr>
        <w:tab/>
      </w:r>
      <w:r>
        <w:rPr>
          <w:color w:val="auto"/>
        </w:rPr>
        <w:fldChar w:fldCharType="begin"/>
      </w:r>
      <w:r>
        <w:rPr>
          <w:color w:val="auto"/>
        </w:rPr>
        <w:instrText xml:space="preserve"> PAGEREF _Toc67558718 \h </w:instrText>
      </w:r>
      <w:r>
        <w:rPr>
          <w:color w:val="auto"/>
        </w:rPr>
        <w:fldChar w:fldCharType="separate"/>
      </w:r>
      <w:r>
        <w:rPr>
          <w:color w:val="auto"/>
        </w:rPr>
        <w:t>18</w:t>
      </w:r>
      <w:r>
        <w:rPr>
          <w:color w:val="auto"/>
        </w:rPr>
        <w:fldChar w:fldCharType="end"/>
      </w:r>
      <w:r>
        <w:rPr>
          <w:color w:val="auto"/>
        </w:rPr>
        <w:fldChar w:fldCharType="end"/>
      </w:r>
    </w:p>
    <w:p>
      <w:pPr>
        <w:pStyle w:val="24"/>
        <w:tabs>
          <w:tab w:val="left" w:pos="1050"/>
          <w:tab w:val="right" w:leader="dot" w:pos="9232"/>
        </w:tabs>
        <w:rPr>
          <w:rFonts w:ascii="Calibri" w:hAnsi="Calibri"/>
          <w:color w:val="auto"/>
          <w:szCs w:val="22"/>
        </w:rPr>
      </w:pPr>
      <w:r>
        <w:rPr>
          <w:color w:val="auto"/>
        </w:rPr>
        <w:fldChar w:fldCharType="begin"/>
      </w:r>
      <w:r>
        <w:rPr>
          <w:color w:val="auto"/>
        </w:rPr>
        <w:instrText xml:space="preserve"> HYPERLINK \l "_Toc67558719" </w:instrText>
      </w:r>
      <w:r>
        <w:rPr>
          <w:color w:val="auto"/>
        </w:rPr>
        <w:fldChar w:fldCharType="separate"/>
      </w:r>
      <w:r>
        <w:rPr>
          <w:rStyle w:val="35"/>
          <w:rFonts w:hint="eastAsia"/>
          <w:color w:val="auto"/>
        </w:rPr>
        <w:t>(二)</w:t>
      </w:r>
      <w:r>
        <w:rPr>
          <w:rFonts w:ascii="Calibri" w:hAnsi="Calibri"/>
          <w:color w:val="auto"/>
          <w:szCs w:val="22"/>
        </w:rPr>
        <w:tab/>
      </w:r>
      <w:r>
        <w:rPr>
          <w:rStyle w:val="35"/>
          <w:rFonts w:hint="eastAsia"/>
          <w:color w:val="auto"/>
        </w:rPr>
        <w:t>投标报价表格式</w:t>
      </w:r>
      <w:r>
        <w:rPr>
          <w:color w:val="auto"/>
        </w:rPr>
        <w:tab/>
      </w:r>
      <w:r>
        <w:rPr>
          <w:color w:val="auto"/>
        </w:rPr>
        <w:fldChar w:fldCharType="begin"/>
      </w:r>
      <w:r>
        <w:rPr>
          <w:color w:val="auto"/>
        </w:rPr>
        <w:instrText xml:space="preserve"> PAGEREF _Toc67558719 \h </w:instrText>
      </w:r>
      <w:r>
        <w:rPr>
          <w:color w:val="auto"/>
        </w:rPr>
        <w:fldChar w:fldCharType="separate"/>
      </w:r>
      <w:r>
        <w:rPr>
          <w:color w:val="auto"/>
        </w:rPr>
        <w:t>19</w:t>
      </w:r>
      <w:r>
        <w:rPr>
          <w:color w:val="auto"/>
        </w:rPr>
        <w:fldChar w:fldCharType="end"/>
      </w:r>
      <w:r>
        <w:rPr>
          <w:color w:val="auto"/>
        </w:rPr>
        <w:fldChar w:fldCharType="end"/>
      </w:r>
    </w:p>
    <w:p>
      <w:pPr>
        <w:pStyle w:val="24"/>
        <w:tabs>
          <w:tab w:val="left" w:pos="1050"/>
          <w:tab w:val="right" w:leader="dot" w:pos="9232"/>
        </w:tabs>
        <w:rPr>
          <w:rFonts w:ascii="Calibri" w:hAnsi="Calibri"/>
          <w:color w:val="auto"/>
          <w:szCs w:val="22"/>
        </w:rPr>
      </w:pPr>
      <w:r>
        <w:rPr>
          <w:color w:val="auto"/>
        </w:rPr>
        <w:fldChar w:fldCharType="begin"/>
      </w:r>
      <w:r>
        <w:rPr>
          <w:color w:val="auto"/>
        </w:rPr>
        <w:instrText xml:space="preserve"> HYPERLINK \l "_Toc67558720" </w:instrText>
      </w:r>
      <w:r>
        <w:rPr>
          <w:color w:val="auto"/>
        </w:rPr>
        <w:fldChar w:fldCharType="separate"/>
      </w:r>
      <w:r>
        <w:rPr>
          <w:rStyle w:val="35"/>
          <w:rFonts w:hint="eastAsia"/>
          <w:color w:val="auto"/>
        </w:rPr>
        <w:t>(三)</w:t>
      </w:r>
      <w:r>
        <w:rPr>
          <w:rFonts w:ascii="Calibri" w:hAnsi="Calibri"/>
          <w:color w:val="auto"/>
          <w:szCs w:val="22"/>
        </w:rPr>
        <w:tab/>
      </w:r>
      <w:r>
        <w:rPr>
          <w:rStyle w:val="35"/>
          <w:rFonts w:hint="eastAsia"/>
          <w:color w:val="auto"/>
        </w:rPr>
        <w:t>法定代表人授权委托书格式</w:t>
      </w:r>
      <w:r>
        <w:rPr>
          <w:color w:val="auto"/>
        </w:rPr>
        <w:tab/>
      </w:r>
      <w:r>
        <w:rPr>
          <w:color w:val="auto"/>
        </w:rPr>
        <w:fldChar w:fldCharType="begin"/>
      </w:r>
      <w:r>
        <w:rPr>
          <w:color w:val="auto"/>
        </w:rPr>
        <w:instrText xml:space="preserve"> PAGEREF _Toc67558720 \h </w:instrText>
      </w:r>
      <w:r>
        <w:rPr>
          <w:color w:val="auto"/>
        </w:rPr>
        <w:fldChar w:fldCharType="separate"/>
      </w:r>
      <w:r>
        <w:rPr>
          <w:color w:val="auto"/>
        </w:rPr>
        <w:t>21</w:t>
      </w:r>
      <w:r>
        <w:rPr>
          <w:color w:val="auto"/>
        </w:rPr>
        <w:fldChar w:fldCharType="end"/>
      </w:r>
      <w:r>
        <w:rPr>
          <w:color w:val="auto"/>
        </w:rPr>
        <w:fldChar w:fldCharType="end"/>
      </w:r>
    </w:p>
    <w:p>
      <w:pPr>
        <w:pStyle w:val="24"/>
        <w:tabs>
          <w:tab w:val="left" w:pos="1050"/>
          <w:tab w:val="right" w:leader="dot" w:pos="9232"/>
        </w:tabs>
        <w:rPr>
          <w:rFonts w:ascii="Calibri" w:hAnsi="Calibri"/>
          <w:color w:val="auto"/>
          <w:szCs w:val="22"/>
        </w:rPr>
      </w:pPr>
      <w:r>
        <w:rPr>
          <w:color w:val="auto"/>
        </w:rPr>
        <w:fldChar w:fldCharType="begin"/>
      </w:r>
      <w:r>
        <w:rPr>
          <w:color w:val="auto"/>
        </w:rPr>
        <w:instrText xml:space="preserve"> HYPERLINK \l "_Toc67558721" </w:instrText>
      </w:r>
      <w:r>
        <w:rPr>
          <w:color w:val="auto"/>
        </w:rPr>
        <w:fldChar w:fldCharType="separate"/>
      </w:r>
      <w:r>
        <w:rPr>
          <w:rStyle w:val="35"/>
          <w:rFonts w:hint="eastAsia"/>
          <w:color w:val="auto"/>
        </w:rPr>
        <w:t>(四)</w:t>
      </w:r>
      <w:r>
        <w:rPr>
          <w:rFonts w:ascii="Calibri" w:hAnsi="Calibri"/>
          <w:color w:val="auto"/>
          <w:szCs w:val="22"/>
        </w:rPr>
        <w:tab/>
      </w:r>
      <w:r>
        <w:rPr>
          <w:rStyle w:val="35"/>
          <w:rFonts w:hint="eastAsia"/>
          <w:color w:val="auto"/>
        </w:rPr>
        <w:t>资格声明格式</w:t>
      </w:r>
      <w:r>
        <w:rPr>
          <w:color w:val="auto"/>
        </w:rPr>
        <w:tab/>
      </w:r>
      <w:r>
        <w:rPr>
          <w:color w:val="auto"/>
        </w:rPr>
        <w:fldChar w:fldCharType="begin"/>
      </w:r>
      <w:r>
        <w:rPr>
          <w:color w:val="auto"/>
        </w:rPr>
        <w:instrText xml:space="preserve"> PAGEREF _Toc67558721 \h </w:instrText>
      </w:r>
      <w:r>
        <w:rPr>
          <w:color w:val="auto"/>
        </w:rPr>
        <w:fldChar w:fldCharType="separate"/>
      </w:r>
      <w:r>
        <w:rPr>
          <w:color w:val="auto"/>
        </w:rPr>
        <w:t>22</w:t>
      </w:r>
      <w:r>
        <w:rPr>
          <w:color w:val="auto"/>
        </w:rPr>
        <w:fldChar w:fldCharType="end"/>
      </w:r>
      <w:r>
        <w:rPr>
          <w:color w:val="auto"/>
        </w:rPr>
        <w:fldChar w:fldCharType="end"/>
      </w:r>
    </w:p>
    <w:p>
      <w:pPr>
        <w:pStyle w:val="24"/>
        <w:tabs>
          <w:tab w:val="left" w:pos="1050"/>
          <w:tab w:val="right" w:leader="dot" w:pos="9232"/>
        </w:tabs>
        <w:rPr>
          <w:rFonts w:ascii="Calibri" w:hAnsi="Calibri"/>
          <w:color w:val="auto"/>
          <w:szCs w:val="22"/>
        </w:rPr>
      </w:pPr>
      <w:r>
        <w:rPr>
          <w:color w:val="auto"/>
        </w:rPr>
        <w:fldChar w:fldCharType="begin"/>
      </w:r>
      <w:r>
        <w:rPr>
          <w:color w:val="auto"/>
        </w:rPr>
        <w:instrText xml:space="preserve"> HYPERLINK \l "_Toc67558722" </w:instrText>
      </w:r>
      <w:r>
        <w:rPr>
          <w:color w:val="auto"/>
        </w:rPr>
        <w:fldChar w:fldCharType="separate"/>
      </w:r>
      <w:r>
        <w:rPr>
          <w:rStyle w:val="35"/>
          <w:rFonts w:hint="eastAsia"/>
          <w:color w:val="auto"/>
        </w:rPr>
        <w:t>(五)</w:t>
      </w:r>
      <w:r>
        <w:rPr>
          <w:rFonts w:ascii="Calibri" w:hAnsi="Calibri"/>
          <w:color w:val="auto"/>
          <w:szCs w:val="22"/>
        </w:rPr>
        <w:tab/>
      </w:r>
      <w:r>
        <w:rPr>
          <w:rStyle w:val="35"/>
          <w:rFonts w:hint="eastAsia"/>
          <w:color w:val="auto"/>
        </w:rPr>
        <w:t>服务商信息表格式</w:t>
      </w:r>
      <w:r>
        <w:rPr>
          <w:color w:val="auto"/>
        </w:rPr>
        <w:tab/>
      </w:r>
      <w:r>
        <w:rPr>
          <w:color w:val="auto"/>
        </w:rPr>
        <w:fldChar w:fldCharType="begin"/>
      </w:r>
      <w:r>
        <w:rPr>
          <w:color w:val="auto"/>
        </w:rPr>
        <w:instrText xml:space="preserve"> PAGEREF _Toc67558722 \h </w:instrText>
      </w:r>
      <w:r>
        <w:rPr>
          <w:color w:val="auto"/>
        </w:rPr>
        <w:fldChar w:fldCharType="separate"/>
      </w:r>
      <w:r>
        <w:rPr>
          <w:color w:val="auto"/>
        </w:rPr>
        <w:t>23</w:t>
      </w:r>
      <w:r>
        <w:rPr>
          <w:color w:val="auto"/>
        </w:rPr>
        <w:fldChar w:fldCharType="end"/>
      </w:r>
      <w:r>
        <w:rPr>
          <w:color w:val="auto"/>
        </w:rPr>
        <w:fldChar w:fldCharType="end"/>
      </w:r>
    </w:p>
    <w:p>
      <w:pPr>
        <w:pStyle w:val="24"/>
        <w:tabs>
          <w:tab w:val="left" w:pos="1050"/>
          <w:tab w:val="right" w:leader="dot" w:pos="9232"/>
        </w:tabs>
        <w:rPr>
          <w:rFonts w:ascii="Calibri" w:hAnsi="Calibri"/>
          <w:color w:val="auto"/>
          <w:szCs w:val="22"/>
        </w:rPr>
      </w:pPr>
      <w:r>
        <w:rPr>
          <w:color w:val="auto"/>
        </w:rPr>
        <w:fldChar w:fldCharType="begin"/>
      </w:r>
      <w:r>
        <w:rPr>
          <w:color w:val="auto"/>
        </w:rPr>
        <w:instrText xml:space="preserve"> HYPERLINK \l "_Toc67558723" </w:instrText>
      </w:r>
      <w:r>
        <w:rPr>
          <w:color w:val="auto"/>
        </w:rPr>
        <w:fldChar w:fldCharType="separate"/>
      </w:r>
      <w:r>
        <w:rPr>
          <w:rStyle w:val="35"/>
          <w:rFonts w:hint="eastAsia"/>
          <w:color w:val="auto"/>
        </w:rPr>
        <w:t>(六)</w:t>
      </w:r>
      <w:r>
        <w:rPr>
          <w:rFonts w:ascii="Calibri" w:hAnsi="Calibri"/>
          <w:color w:val="auto"/>
          <w:szCs w:val="22"/>
        </w:rPr>
        <w:tab/>
      </w:r>
      <w:r>
        <w:rPr>
          <w:rStyle w:val="35"/>
          <w:rFonts w:hint="eastAsia"/>
          <w:color w:val="auto"/>
        </w:rPr>
        <w:t>投标人业绩表格式</w:t>
      </w:r>
      <w:r>
        <w:rPr>
          <w:color w:val="auto"/>
        </w:rPr>
        <w:tab/>
      </w:r>
      <w:r>
        <w:rPr>
          <w:color w:val="auto"/>
        </w:rPr>
        <w:fldChar w:fldCharType="begin"/>
      </w:r>
      <w:r>
        <w:rPr>
          <w:color w:val="auto"/>
        </w:rPr>
        <w:instrText xml:space="preserve"> PAGEREF _Toc67558723 \h </w:instrText>
      </w:r>
      <w:r>
        <w:rPr>
          <w:color w:val="auto"/>
        </w:rPr>
        <w:fldChar w:fldCharType="separate"/>
      </w:r>
      <w:r>
        <w:rPr>
          <w:color w:val="auto"/>
        </w:rPr>
        <w:t>24</w:t>
      </w:r>
      <w:r>
        <w:rPr>
          <w:color w:val="auto"/>
        </w:rPr>
        <w:fldChar w:fldCharType="end"/>
      </w:r>
      <w:r>
        <w:rPr>
          <w:color w:val="auto"/>
        </w:rPr>
        <w:fldChar w:fldCharType="end"/>
      </w:r>
    </w:p>
    <w:p>
      <w:pPr>
        <w:spacing w:line="360" w:lineRule="auto"/>
        <w:jc w:val="center"/>
        <w:rPr>
          <w:rFonts w:ascii="黑体" w:eastAsia="黑体"/>
          <w:color w:val="auto"/>
          <w:spacing w:val="20"/>
          <w:sz w:val="32"/>
        </w:rPr>
      </w:pPr>
      <w:r>
        <w:rPr>
          <w:rFonts w:ascii="黑体" w:eastAsia="黑体"/>
          <w:color w:val="auto"/>
          <w:spacing w:val="20"/>
          <w:sz w:val="32"/>
        </w:rPr>
        <w:fldChar w:fldCharType="end"/>
      </w:r>
    </w:p>
    <w:p>
      <w:pPr>
        <w:pageBreakBefore/>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pStyle w:val="27"/>
        <w:rPr>
          <w:snapToGrid w:val="0"/>
          <w:color w:val="auto"/>
        </w:rPr>
      </w:pPr>
      <w:bookmarkStart w:id="0" w:name="_Toc67558681"/>
      <w:r>
        <w:rPr>
          <w:rFonts w:hint="eastAsia"/>
          <w:snapToGrid w:val="0"/>
          <w:color w:val="auto"/>
        </w:rPr>
        <w:t>申   明</w:t>
      </w:r>
      <w:bookmarkEnd w:id="0"/>
    </w:p>
    <w:p>
      <w:pPr>
        <w:spacing w:line="300" w:lineRule="auto"/>
        <w:ind w:left="2195" w:right="8" w:hanging="2195" w:hangingChars="497"/>
        <w:rPr>
          <w:rFonts w:ascii="宋体"/>
          <w:b/>
          <w:bCs/>
          <w:color w:val="auto"/>
          <w:sz w:val="44"/>
          <w:szCs w:val="44"/>
        </w:rPr>
      </w:pPr>
    </w:p>
    <w:p>
      <w:pPr>
        <w:autoSpaceDE w:val="0"/>
        <w:autoSpaceDN w:val="0"/>
        <w:adjustRightInd w:val="0"/>
        <w:spacing w:line="560" w:lineRule="atLeast"/>
        <w:jc w:val="center"/>
        <w:rPr>
          <w:rFonts w:ascii="宋体" w:hAnsi="宋体"/>
          <w:snapToGrid w:val="0"/>
          <w:color w:val="auto"/>
        </w:rPr>
      </w:pPr>
    </w:p>
    <w:p>
      <w:pPr>
        <w:wordWrap w:val="0"/>
        <w:autoSpaceDE w:val="0"/>
        <w:autoSpaceDN w:val="0"/>
        <w:adjustRightInd w:val="0"/>
        <w:spacing w:line="560" w:lineRule="atLeast"/>
        <w:ind w:firstLine="624"/>
        <w:rPr>
          <w:rFonts w:ascii="宋体" w:hAnsi="宋体"/>
          <w:snapToGrid w:val="0"/>
          <w:color w:val="auto"/>
        </w:rPr>
      </w:pPr>
      <w:r>
        <w:rPr>
          <w:rFonts w:hint="eastAsia" w:ascii="宋体" w:hAnsi="宋体"/>
          <w:snapToGrid w:val="0"/>
          <w:color w:val="auto"/>
        </w:rPr>
        <w:t>本招标文件专用于四川天府银行股份有限公司（简称“四川天府银行”、“本行”）本次</w:t>
      </w:r>
      <w:r>
        <w:rPr>
          <w:rFonts w:hint="eastAsia" w:ascii="宋体"/>
          <w:b/>
          <w:i/>
          <w:color w:val="auto"/>
          <w:kern w:val="0"/>
          <w:u w:val="single"/>
        </w:rPr>
        <w:t>企业微信本地化部署</w:t>
      </w:r>
      <w:r>
        <w:rPr>
          <w:rFonts w:hint="eastAsia" w:ascii="宋体" w:hAnsi="宋体"/>
          <w:snapToGrid w:val="0"/>
          <w:color w:val="auto"/>
        </w:rPr>
        <w:t>，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spacing w:line="360" w:lineRule="auto"/>
        <w:jc w:val="center"/>
        <w:rPr>
          <w:rFonts w:ascii="黑体" w:eastAsia="黑体"/>
          <w:color w:val="auto"/>
          <w:spacing w:val="20"/>
          <w:sz w:val="32"/>
        </w:rPr>
      </w:pPr>
    </w:p>
    <w:p>
      <w:pPr>
        <w:pStyle w:val="27"/>
        <w:rPr>
          <w:snapToGrid w:val="0"/>
          <w:color w:val="auto"/>
        </w:rPr>
      </w:pPr>
      <w:bookmarkStart w:id="1" w:name="_Toc67558682"/>
      <w:r>
        <w:rPr>
          <w:rFonts w:hint="eastAsia"/>
          <w:snapToGrid w:val="0"/>
          <w:color w:val="auto"/>
        </w:rPr>
        <w:t>第一部分：投标人须知</w:t>
      </w:r>
      <w:bookmarkEnd w:id="1"/>
    </w:p>
    <w:p>
      <w:pPr>
        <w:spacing w:line="360" w:lineRule="auto"/>
        <w:jc w:val="center"/>
        <w:rPr>
          <w:rFonts w:ascii="黑体" w:eastAsia="黑体"/>
          <w:color w:val="auto"/>
          <w:spacing w:val="20"/>
          <w:sz w:val="44"/>
        </w:rPr>
      </w:pPr>
    </w:p>
    <w:p>
      <w:pPr>
        <w:pStyle w:val="9"/>
        <w:tabs>
          <w:tab w:val="clear" w:pos="432"/>
        </w:tabs>
        <w:rPr>
          <w:color w:val="auto"/>
        </w:rPr>
      </w:pPr>
      <w:bookmarkStart w:id="2" w:name="_Toc67558683"/>
      <w:r>
        <w:rPr>
          <w:rFonts w:hint="eastAsia"/>
          <w:color w:val="auto"/>
        </w:rPr>
        <w:t>说  明</w:t>
      </w:r>
      <w:bookmarkEnd w:id="2"/>
    </w:p>
    <w:p>
      <w:pPr>
        <w:pStyle w:val="10"/>
        <w:tabs>
          <w:tab w:val="clear" w:pos="2278"/>
        </w:tabs>
        <w:spacing w:before="120" w:after="120"/>
        <w:rPr>
          <w:color w:val="auto"/>
        </w:rPr>
      </w:pPr>
      <w:bookmarkStart w:id="3" w:name="_Toc67558684"/>
      <w:r>
        <w:rPr>
          <w:rFonts w:hint="eastAsia"/>
          <w:color w:val="auto"/>
        </w:rPr>
        <w:t>招标项目概要</w:t>
      </w:r>
      <w:bookmarkEnd w:id="3"/>
    </w:p>
    <w:p>
      <w:pPr>
        <w:pStyle w:val="11"/>
        <w:tabs>
          <w:tab w:val="clear" w:pos="1571"/>
        </w:tabs>
        <w:rPr>
          <w:color w:val="auto"/>
        </w:rPr>
      </w:pPr>
      <w:r>
        <w:rPr>
          <w:rFonts w:hint="eastAsia"/>
          <w:color w:val="auto"/>
        </w:rPr>
        <w:t>招标人：四川天府银行</w:t>
      </w:r>
    </w:p>
    <w:p>
      <w:pPr>
        <w:pStyle w:val="11"/>
        <w:tabs>
          <w:tab w:val="clear" w:pos="1571"/>
        </w:tabs>
        <w:rPr>
          <w:color w:val="auto"/>
        </w:rPr>
      </w:pPr>
      <w:r>
        <w:rPr>
          <w:rFonts w:hint="eastAsia"/>
          <w:color w:val="auto"/>
        </w:rPr>
        <w:t>项目名称：</w:t>
      </w:r>
      <w:r>
        <w:rPr>
          <w:rFonts w:hint="eastAsia"/>
          <w:b/>
          <w:i/>
          <w:color w:val="auto"/>
          <w:u w:val="single"/>
        </w:rPr>
        <w:t>四川天府银行企业微信本地化部署项目招标。</w:t>
      </w:r>
    </w:p>
    <w:p>
      <w:pPr>
        <w:pStyle w:val="11"/>
        <w:tabs>
          <w:tab w:val="clear" w:pos="1571"/>
        </w:tabs>
        <w:rPr>
          <w:color w:val="auto"/>
        </w:rPr>
      </w:pPr>
      <w:r>
        <w:rPr>
          <w:rFonts w:hint="eastAsia"/>
          <w:color w:val="auto"/>
        </w:rPr>
        <w:t>项目内容：本次招标项目内容为</w:t>
      </w:r>
      <w:r>
        <w:rPr>
          <w:rFonts w:hint="eastAsia" w:hAnsi="宋体" w:cs="宋体"/>
          <w:b/>
          <w:i/>
          <w:color w:val="auto"/>
          <w:szCs w:val="21"/>
          <w:u w:val="single"/>
        </w:rPr>
        <w:t>“</w:t>
      </w:r>
      <w:r>
        <w:rPr>
          <w:rFonts w:hint="eastAsia"/>
          <w:b/>
          <w:i/>
          <w:color w:val="auto"/>
          <w:u w:val="single"/>
        </w:rPr>
        <w:t>企业微信本地化部署</w:t>
      </w:r>
      <w:r>
        <w:rPr>
          <w:rFonts w:hint="eastAsia" w:hAnsi="宋体" w:cs="宋体"/>
          <w:b/>
          <w:i/>
          <w:color w:val="auto"/>
          <w:szCs w:val="21"/>
          <w:u w:val="single"/>
        </w:rPr>
        <w:t>招标项目</w:t>
      </w:r>
      <w:r>
        <w:rPr>
          <w:rFonts w:hint="eastAsia"/>
          <w:color w:val="auto"/>
        </w:rPr>
        <w:t>”。</w:t>
      </w:r>
    </w:p>
    <w:p>
      <w:pPr>
        <w:pStyle w:val="11"/>
        <w:tabs>
          <w:tab w:val="clear" w:pos="1571"/>
        </w:tabs>
        <w:rPr>
          <w:color w:val="auto"/>
        </w:rPr>
      </w:pPr>
      <w:r>
        <w:rPr>
          <w:rFonts w:hint="eastAsia"/>
          <w:color w:val="auto"/>
        </w:rPr>
        <w:t>招标方式：</w:t>
      </w:r>
      <w:r>
        <w:rPr>
          <w:rFonts w:hint="eastAsia"/>
          <w:color w:val="auto"/>
          <w:highlight w:val="none"/>
          <w:lang w:eastAsia="zh-CN"/>
        </w:rPr>
        <w:t>公开招标</w:t>
      </w:r>
      <w:r>
        <w:rPr>
          <w:rFonts w:hint="eastAsia"/>
          <w:color w:val="auto"/>
        </w:rPr>
        <w:t>。</w:t>
      </w:r>
    </w:p>
    <w:p>
      <w:pPr>
        <w:pStyle w:val="11"/>
        <w:tabs>
          <w:tab w:val="clear" w:pos="1571"/>
        </w:tabs>
        <w:rPr>
          <w:color w:val="auto"/>
        </w:rPr>
      </w:pPr>
      <w:r>
        <w:rPr>
          <w:rFonts w:hint="eastAsia"/>
          <w:color w:val="auto"/>
        </w:rPr>
        <w:t>交货期：签订采购合同时确定。</w:t>
      </w:r>
    </w:p>
    <w:p>
      <w:pPr>
        <w:pStyle w:val="11"/>
        <w:tabs>
          <w:tab w:val="clear" w:pos="1571"/>
        </w:tabs>
        <w:rPr>
          <w:color w:val="auto"/>
        </w:rPr>
      </w:pPr>
      <w:r>
        <w:rPr>
          <w:rFonts w:hint="eastAsia"/>
          <w:color w:val="auto"/>
        </w:rPr>
        <w:t>交货地点：签订采购合同时确定。</w:t>
      </w:r>
    </w:p>
    <w:p>
      <w:pPr>
        <w:pStyle w:val="11"/>
        <w:tabs>
          <w:tab w:val="clear" w:pos="1571"/>
        </w:tabs>
        <w:rPr>
          <w:color w:val="auto"/>
          <w:highlight w:val="yellow"/>
        </w:rPr>
      </w:pPr>
      <w:r>
        <w:rPr>
          <w:rFonts w:hint="eastAsia"/>
          <w:color w:val="auto"/>
          <w:highlight w:val="yellow"/>
        </w:rPr>
        <w:t>开标时间：</w:t>
      </w:r>
      <w:r>
        <w:rPr>
          <w:rFonts w:hint="eastAsia"/>
          <w:color w:val="auto"/>
          <w:highlight w:val="yellow"/>
          <w:u w:val="single"/>
        </w:rPr>
        <w:t>另行电话通知。</w:t>
      </w:r>
    </w:p>
    <w:p>
      <w:pPr>
        <w:pStyle w:val="11"/>
        <w:tabs>
          <w:tab w:val="clear" w:pos="1571"/>
        </w:tabs>
        <w:rPr>
          <w:color w:val="auto"/>
          <w:highlight w:val="yellow"/>
        </w:rPr>
      </w:pPr>
      <w:r>
        <w:rPr>
          <w:rFonts w:hint="eastAsia"/>
          <w:color w:val="auto"/>
          <w:highlight w:val="yellow"/>
        </w:rPr>
        <w:t>开标地点：四川省成都市</w:t>
      </w:r>
      <w:r>
        <w:rPr>
          <w:color w:val="auto"/>
          <w:highlight w:val="yellow"/>
        </w:rPr>
        <w:t>锦江区东大街下东大街</w:t>
      </w:r>
      <w:r>
        <w:rPr>
          <w:rFonts w:hint="eastAsia"/>
          <w:color w:val="auto"/>
          <w:highlight w:val="yellow"/>
        </w:rPr>
        <w:t>258号</w:t>
      </w:r>
      <w:r>
        <w:rPr>
          <w:color w:val="auto"/>
          <w:highlight w:val="yellow"/>
        </w:rPr>
        <w:t>四川天府银行</w:t>
      </w:r>
      <w:r>
        <w:rPr>
          <w:rFonts w:hint="eastAsia"/>
          <w:color w:val="auto"/>
          <w:highlight w:val="yellow"/>
        </w:rPr>
        <w:t>25楼C会议室。</w:t>
      </w:r>
    </w:p>
    <w:p>
      <w:pPr>
        <w:pStyle w:val="11"/>
        <w:tabs>
          <w:tab w:val="clear" w:pos="1571"/>
        </w:tabs>
        <w:rPr>
          <w:color w:val="auto"/>
          <w:highlight w:val="yellow"/>
        </w:rPr>
      </w:pPr>
      <w:r>
        <w:rPr>
          <w:rFonts w:hint="eastAsia"/>
          <w:color w:val="auto"/>
          <w:highlight w:val="yellow"/>
        </w:rPr>
        <w:t>联系方式：</w:t>
      </w:r>
    </w:p>
    <w:p>
      <w:pPr>
        <w:pStyle w:val="11"/>
        <w:numPr>
          <w:ilvl w:val="2"/>
          <w:numId w:val="0"/>
        </w:numPr>
        <w:ind w:left="1571"/>
        <w:rPr>
          <w:color w:val="auto"/>
          <w:highlight w:val="yellow"/>
        </w:rPr>
      </w:pPr>
      <w:r>
        <w:rPr>
          <w:rFonts w:hint="eastAsia"/>
          <w:color w:val="auto"/>
          <w:highlight w:val="yellow"/>
        </w:rPr>
        <w:t>商务联系人：刘纯燕 028-67676114</w:t>
      </w:r>
    </w:p>
    <w:p>
      <w:pPr>
        <w:pStyle w:val="11"/>
        <w:numPr>
          <w:ilvl w:val="2"/>
          <w:numId w:val="0"/>
        </w:numPr>
        <w:rPr>
          <w:rFonts w:hint="default" w:hAnsi="宋体" w:eastAsia="宋体" w:cs="宋体"/>
          <w:color w:val="auto"/>
          <w:szCs w:val="21"/>
          <w:highlight w:val="yellow"/>
          <w:lang w:val="en-US" w:eastAsia="zh-CN"/>
        </w:rPr>
      </w:pPr>
      <w:r>
        <w:rPr>
          <w:rFonts w:hint="eastAsia" w:hAnsi="宋体" w:cs="宋体"/>
          <w:color w:val="auto"/>
          <w:szCs w:val="21"/>
          <w:highlight w:val="yellow"/>
        </w:rPr>
        <w:t xml:space="preserve">               业务联系人：</w:t>
      </w:r>
      <w:r>
        <w:rPr>
          <w:rFonts w:hint="eastAsia" w:hAnsi="宋体" w:cs="宋体"/>
          <w:color w:val="auto"/>
          <w:szCs w:val="21"/>
          <w:highlight w:val="yellow"/>
          <w:lang w:eastAsia="zh-CN"/>
        </w:rPr>
        <w:t>何龙</w:t>
      </w:r>
      <w:r>
        <w:rPr>
          <w:rFonts w:hint="eastAsia" w:hAnsi="宋体" w:cs="宋体"/>
          <w:color w:val="auto"/>
          <w:szCs w:val="21"/>
          <w:highlight w:val="yellow"/>
          <w:lang w:val="en-US" w:eastAsia="zh-CN"/>
        </w:rPr>
        <w:t>18708187382、刘思家18011597331</w:t>
      </w:r>
    </w:p>
    <w:p>
      <w:pPr>
        <w:pStyle w:val="11"/>
        <w:numPr>
          <w:ilvl w:val="2"/>
          <w:numId w:val="0"/>
        </w:numPr>
        <w:ind w:left="1571"/>
        <w:rPr>
          <w:rFonts w:hAnsi="宋体" w:cs="宋体"/>
          <w:color w:val="auto"/>
          <w:szCs w:val="21"/>
          <w:highlight w:val="yellow"/>
        </w:rPr>
      </w:pPr>
      <w:r>
        <w:rPr>
          <w:rFonts w:hint="eastAsia"/>
          <w:color w:val="auto"/>
          <w:highlight w:val="yellow"/>
        </w:rPr>
        <w:t>地址：成都市锦江区东大街下东大街段258号四川天府银行</w:t>
      </w:r>
    </w:p>
    <w:p>
      <w:pPr>
        <w:pStyle w:val="10"/>
        <w:tabs>
          <w:tab w:val="clear" w:pos="2278"/>
        </w:tabs>
        <w:spacing w:before="120" w:after="120"/>
        <w:rPr>
          <w:color w:val="auto"/>
        </w:rPr>
      </w:pPr>
      <w:bookmarkStart w:id="4" w:name="_Toc67558685"/>
      <w:r>
        <w:rPr>
          <w:rFonts w:hint="eastAsia"/>
          <w:color w:val="auto"/>
        </w:rPr>
        <w:t>适用范围</w:t>
      </w:r>
      <w:bookmarkEnd w:id="4"/>
    </w:p>
    <w:p>
      <w:pPr>
        <w:pStyle w:val="11"/>
        <w:tabs>
          <w:tab w:val="clear" w:pos="1571"/>
        </w:tabs>
        <w:rPr>
          <w:color w:val="auto"/>
        </w:rPr>
      </w:pPr>
      <w:r>
        <w:rPr>
          <w:rFonts w:hint="eastAsia"/>
          <w:color w:val="auto"/>
        </w:rPr>
        <w:t>本招标文件仅适用于本项目招标文件中所叙述的项目。</w:t>
      </w:r>
    </w:p>
    <w:p>
      <w:pPr>
        <w:pStyle w:val="10"/>
        <w:tabs>
          <w:tab w:val="clear" w:pos="2278"/>
        </w:tabs>
        <w:spacing w:before="120" w:after="120"/>
        <w:rPr>
          <w:color w:val="auto"/>
        </w:rPr>
      </w:pPr>
      <w:bookmarkStart w:id="5" w:name="_Toc67558686"/>
      <w:r>
        <w:rPr>
          <w:rFonts w:hint="eastAsia"/>
          <w:color w:val="auto"/>
        </w:rPr>
        <w:t>法律适用</w:t>
      </w:r>
      <w:bookmarkEnd w:id="5"/>
    </w:p>
    <w:p>
      <w:pPr>
        <w:pStyle w:val="11"/>
        <w:tabs>
          <w:tab w:val="clear" w:pos="1571"/>
        </w:tabs>
        <w:rPr>
          <w:color w:val="auto"/>
        </w:rPr>
      </w:pPr>
      <w:r>
        <w:rPr>
          <w:rFonts w:hint="eastAsia"/>
          <w:color w:val="auto"/>
        </w:rPr>
        <w:t>本招标文件及由本次招标产生的合同适用中华人民共和国法律。</w:t>
      </w:r>
    </w:p>
    <w:p>
      <w:pPr>
        <w:pStyle w:val="10"/>
        <w:tabs>
          <w:tab w:val="clear" w:pos="2278"/>
        </w:tabs>
        <w:spacing w:before="120" w:after="120"/>
        <w:rPr>
          <w:color w:val="auto"/>
        </w:rPr>
      </w:pPr>
      <w:bookmarkStart w:id="6" w:name="_Toc67558687"/>
      <w:r>
        <w:rPr>
          <w:rFonts w:hint="eastAsia"/>
          <w:color w:val="auto"/>
        </w:rPr>
        <w:t>定义及解释</w:t>
      </w:r>
      <w:bookmarkEnd w:id="6"/>
    </w:p>
    <w:p>
      <w:pPr>
        <w:pStyle w:val="11"/>
        <w:tabs>
          <w:tab w:val="clear" w:pos="1571"/>
        </w:tabs>
        <w:rPr>
          <w:color w:val="auto"/>
        </w:rPr>
      </w:pPr>
      <w:r>
        <w:rPr>
          <w:rFonts w:hint="eastAsia"/>
          <w:color w:val="auto"/>
        </w:rPr>
        <w:t>用户：系指四川天府银行。</w:t>
      </w:r>
    </w:p>
    <w:p>
      <w:pPr>
        <w:pStyle w:val="11"/>
        <w:tabs>
          <w:tab w:val="clear" w:pos="1571"/>
        </w:tabs>
        <w:rPr>
          <w:color w:val="auto"/>
        </w:rPr>
      </w:pPr>
      <w:r>
        <w:rPr>
          <w:rFonts w:hint="eastAsia"/>
          <w:color w:val="auto"/>
        </w:rPr>
        <w:t>供应商：指与招标人签订采购合同的中标人或入围供应商。</w:t>
      </w:r>
    </w:p>
    <w:p>
      <w:pPr>
        <w:pStyle w:val="11"/>
        <w:tabs>
          <w:tab w:val="clear" w:pos="1571"/>
        </w:tabs>
        <w:rPr>
          <w:color w:val="auto"/>
        </w:rPr>
      </w:pPr>
      <w:r>
        <w:rPr>
          <w:rFonts w:hint="eastAsia" w:hAnsi="宋体"/>
          <w:color w:val="auto"/>
          <w:szCs w:val="21"/>
        </w:rPr>
        <w:t>货物：指投标人按招标文件规定，向用户提供所需的产品。</w:t>
      </w:r>
    </w:p>
    <w:p>
      <w:pPr>
        <w:pStyle w:val="11"/>
        <w:tabs>
          <w:tab w:val="clear" w:pos="1571"/>
        </w:tabs>
        <w:rPr>
          <w:color w:val="auto"/>
        </w:rPr>
      </w:pPr>
      <w:r>
        <w:rPr>
          <w:rFonts w:hint="eastAsia"/>
          <w:color w:val="auto"/>
        </w:rPr>
        <w:t>服务：</w:t>
      </w:r>
      <w:r>
        <w:rPr>
          <w:rFonts w:hint="eastAsia" w:hAnsi="宋体"/>
          <w:color w:val="auto"/>
          <w:szCs w:val="21"/>
        </w:rPr>
        <w:t>招标文件规定投标人必须承担的货物运输、安装、测试、检验、调试、人员培训等技术支持、售后服</w:t>
      </w:r>
      <w:r>
        <w:rPr>
          <w:rFonts w:hint="eastAsia"/>
          <w:color w:val="auto"/>
          <w:szCs w:val="21"/>
        </w:rPr>
        <w:t>务以及其他相关的义务。</w:t>
      </w:r>
    </w:p>
    <w:p>
      <w:pPr>
        <w:pStyle w:val="11"/>
        <w:tabs>
          <w:tab w:val="clear" w:pos="1571"/>
        </w:tabs>
        <w:rPr>
          <w:color w:val="auto"/>
        </w:rPr>
      </w:pPr>
      <w:r>
        <w:rPr>
          <w:rFonts w:hint="eastAsia"/>
          <w:color w:val="auto"/>
        </w:rPr>
        <w:t>日期：指公历日。</w:t>
      </w:r>
    </w:p>
    <w:p>
      <w:pPr>
        <w:pStyle w:val="11"/>
        <w:tabs>
          <w:tab w:val="clear" w:pos="1571"/>
        </w:tabs>
        <w:rPr>
          <w:color w:val="auto"/>
        </w:rPr>
      </w:pPr>
      <w:r>
        <w:rPr>
          <w:rFonts w:hint="eastAsia"/>
          <w:color w:val="auto"/>
        </w:rPr>
        <w:t>合同：指依据本次入围招标结果签订的意向书、协议或合约文件。</w:t>
      </w:r>
    </w:p>
    <w:p>
      <w:pPr>
        <w:pStyle w:val="11"/>
        <w:tabs>
          <w:tab w:val="clear" w:pos="1571"/>
        </w:tabs>
        <w:rPr>
          <w:color w:val="auto"/>
        </w:rPr>
      </w:pPr>
      <w:r>
        <w:rPr>
          <w:rFonts w:hint="eastAsia"/>
          <w:color w:val="auto"/>
        </w:rPr>
        <w:t>招标文件中的标题或题名仅起引导作用，而不应视为对招标文件内容的理解和解释。</w:t>
      </w:r>
    </w:p>
    <w:p>
      <w:pPr>
        <w:pStyle w:val="11"/>
        <w:tabs>
          <w:tab w:val="clear" w:pos="1571"/>
        </w:tabs>
        <w:rPr>
          <w:color w:val="auto"/>
        </w:rPr>
      </w:pPr>
      <w:r>
        <w:rPr>
          <w:rFonts w:hint="eastAsia"/>
          <w:color w:val="auto"/>
        </w:rPr>
        <w:t>招标文件中所规定的“书面形式”，包括纸质文件和电讯文件形式，既含手写、打印或印刷的文字资料形式，也包括传真等通讯形成文件。</w:t>
      </w:r>
    </w:p>
    <w:p>
      <w:pPr>
        <w:pStyle w:val="10"/>
        <w:tabs>
          <w:tab w:val="clear" w:pos="2278"/>
        </w:tabs>
        <w:spacing w:before="120" w:after="120"/>
        <w:rPr>
          <w:color w:val="auto"/>
        </w:rPr>
      </w:pPr>
      <w:bookmarkStart w:id="7" w:name="_Toc67558688"/>
      <w:r>
        <w:rPr>
          <w:rFonts w:hint="eastAsia"/>
          <w:color w:val="auto"/>
        </w:rPr>
        <w:t>合格投标人及合格投标设备</w:t>
      </w:r>
      <w:bookmarkEnd w:id="7"/>
    </w:p>
    <w:p>
      <w:pPr>
        <w:pStyle w:val="11"/>
        <w:tabs>
          <w:tab w:val="clear" w:pos="1571"/>
        </w:tabs>
        <w:rPr>
          <w:color w:val="auto"/>
        </w:rPr>
      </w:pPr>
      <w:r>
        <w:rPr>
          <w:rFonts w:hint="eastAsia"/>
          <w:color w:val="auto"/>
        </w:rPr>
        <w:t>合格投标人</w:t>
      </w:r>
    </w:p>
    <w:p>
      <w:pPr>
        <w:widowControl/>
        <w:spacing w:line="360" w:lineRule="auto"/>
        <w:ind w:left="180" w:firstLine="840" w:firstLineChars="400"/>
        <w:jc w:val="left"/>
        <w:rPr>
          <w:color w:val="auto"/>
        </w:rPr>
      </w:pPr>
      <w:r>
        <w:rPr>
          <w:rFonts w:hint="eastAsia"/>
          <w:color w:val="auto"/>
        </w:rPr>
        <w:t>（1）</w:t>
      </w:r>
      <w:bookmarkStart w:id="42" w:name="_GoBack"/>
      <w:bookmarkEnd w:id="42"/>
      <w:r>
        <w:rPr>
          <w:rFonts w:hint="eastAsia"/>
          <w:color w:val="auto"/>
        </w:rPr>
        <w:t>具有独立承担民事责任的能力，近两年没有重大的违约违法行为，近三年没有骗取中标和严重违约等问题。</w:t>
      </w:r>
    </w:p>
    <w:p>
      <w:pPr>
        <w:widowControl/>
        <w:spacing w:line="360" w:lineRule="auto"/>
        <w:ind w:left="180" w:firstLine="840" w:firstLineChars="400"/>
        <w:jc w:val="left"/>
        <w:rPr>
          <w:color w:val="auto"/>
        </w:rPr>
      </w:pPr>
      <w:r>
        <w:rPr>
          <w:rFonts w:hint="eastAsia"/>
          <w:color w:val="auto"/>
        </w:rPr>
        <w:t>（2）投标人应具备年检有效期内的营业执照件（三证合一）。</w:t>
      </w:r>
    </w:p>
    <w:p>
      <w:pPr>
        <w:widowControl/>
        <w:spacing w:line="360" w:lineRule="auto"/>
        <w:ind w:left="180" w:firstLine="840" w:firstLineChars="400"/>
        <w:jc w:val="left"/>
        <w:rPr>
          <w:color w:val="auto"/>
        </w:rPr>
      </w:pPr>
      <w:r>
        <w:rPr>
          <w:rFonts w:hint="eastAsia"/>
          <w:color w:val="auto"/>
        </w:rPr>
        <w:t>（3）投标人应遵守《中华人民共和国招标投标法》、《中华人民共和国政府采购法》及其相关的中华人民共和国法律和法规。</w:t>
      </w:r>
    </w:p>
    <w:p>
      <w:pPr>
        <w:widowControl/>
        <w:spacing w:line="360" w:lineRule="auto"/>
        <w:ind w:left="180" w:firstLine="840" w:firstLineChars="400"/>
        <w:jc w:val="left"/>
        <w:rPr>
          <w:color w:val="auto"/>
        </w:rPr>
      </w:pPr>
      <w:r>
        <w:rPr>
          <w:rFonts w:hint="eastAsia"/>
          <w:color w:val="auto"/>
        </w:rPr>
        <w:t>（4）投标人应不属于有腐败和欺诈行为的不合格的投标人。</w:t>
      </w:r>
    </w:p>
    <w:p>
      <w:pPr>
        <w:widowControl/>
        <w:spacing w:line="360" w:lineRule="auto"/>
        <w:ind w:left="180" w:firstLine="840" w:firstLineChars="400"/>
        <w:jc w:val="left"/>
        <w:rPr>
          <w:color w:val="auto"/>
        </w:rPr>
      </w:pPr>
      <w:r>
        <w:rPr>
          <w:rFonts w:hint="eastAsia"/>
          <w:color w:val="auto"/>
        </w:rPr>
        <w:t>（5）具有良好的商业信誉和健全的财务会计制度。</w:t>
      </w:r>
    </w:p>
    <w:p>
      <w:pPr>
        <w:widowControl/>
        <w:spacing w:line="360" w:lineRule="auto"/>
        <w:ind w:left="180" w:firstLine="840" w:firstLineChars="400"/>
        <w:jc w:val="left"/>
        <w:rPr>
          <w:color w:val="auto"/>
        </w:rPr>
      </w:pPr>
      <w:r>
        <w:rPr>
          <w:rFonts w:hint="eastAsia"/>
          <w:color w:val="auto"/>
        </w:rPr>
        <w:t>（6）具有履行合同所必需的设备和专业技术能力。</w:t>
      </w:r>
    </w:p>
    <w:p>
      <w:pPr>
        <w:widowControl/>
        <w:spacing w:line="360" w:lineRule="auto"/>
        <w:ind w:left="180" w:firstLine="840" w:firstLineChars="400"/>
        <w:jc w:val="left"/>
        <w:rPr>
          <w:color w:val="auto"/>
        </w:rPr>
      </w:pPr>
      <w:r>
        <w:rPr>
          <w:rFonts w:hint="eastAsia"/>
          <w:color w:val="auto"/>
        </w:rPr>
        <w:t>（7）有依法缴纳税收和社会保障资金的良好记录。</w:t>
      </w:r>
    </w:p>
    <w:p>
      <w:pPr>
        <w:widowControl/>
        <w:spacing w:line="360" w:lineRule="auto"/>
        <w:ind w:left="180" w:firstLine="840" w:firstLineChars="400"/>
        <w:jc w:val="left"/>
        <w:rPr>
          <w:color w:val="auto"/>
        </w:rPr>
      </w:pPr>
      <w:r>
        <w:rPr>
          <w:rFonts w:hint="eastAsia"/>
          <w:color w:val="auto"/>
        </w:rPr>
        <w:t>（8）本次招标不接受联合体投标。法定代表人为同一个人的两个及两个以上法人，母公司、全资子公司及其控股公司，允许以母公司投标。</w:t>
      </w:r>
    </w:p>
    <w:p>
      <w:pPr>
        <w:widowControl/>
        <w:spacing w:line="360" w:lineRule="auto"/>
        <w:ind w:left="180" w:firstLine="840" w:firstLineChars="400"/>
        <w:jc w:val="left"/>
        <w:rPr>
          <w:color w:val="auto"/>
        </w:rPr>
      </w:pPr>
      <w:r>
        <w:rPr>
          <w:rFonts w:hint="eastAsia"/>
          <w:color w:val="auto"/>
        </w:rPr>
        <w:t>（9）所招标设备具备合规合法的相关认证资质。</w:t>
      </w:r>
    </w:p>
    <w:p>
      <w:pPr>
        <w:widowControl/>
        <w:spacing w:line="360" w:lineRule="auto"/>
        <w:ind w:left="180" w:firstLine="840" w:firstLineChars="400"/>
        <w:jc w:val="left"/>
        <w:rPr>
          <w:color w:val="auto"/>
        </w:rPr>
      </w:pPr>
      <w:r>
        <w:rPr>
          <w:rFonts w:hint="eastAsia"/>
          <w:color w:val="auto"/>
        </w:rPr>
        <w:t>（10）所招标设备要支持并适配我行设备管理系统，包括后续程序升级带来的运维支持。</w:t>
      </w:r>
    </w:p>
    <w:p>
      <w:pPr>
        <w:widowControl/>
        <w:spacing w:line="360" w:lineRule="auto"/>
        <w:ind w:left="180" w:firstLine="840" w:firstLineChars="400"/>
        <w:jc w:val="left"/>
        <w:rPr>
          <w:color w:val="auto"/>
        </w:rPr>
      </w:pPr>
      <w:r>
        <w:rPr>
          <w:rFonts w:hint="eastAsia"/>
          <w:color w:val="auto"/>
        </w:rPr>
        <w:t>（11）所有招标厂商设备拥有设备序列号，可以上送地理位置。</w:t>
      </w:r>
    </w:p>
    <w:p>
      <w:pPr>
        <w:widowControl/>
        <w:spacing w:line="360" w:lineRule="auto"/>
        <w:ind w:left="180" w:firstLine="840" w:firstLineChars="400"/>
        <w:jc w:val="left"/>
        <w:rPr>
          <w:color w:val="auto"/>
        </w:rPr>
      </w:pPr>
      <w:r>
        <w:rPr>
          <w:rFonts w:hint="eastAsia"/>
          <w:color w:val="auto"/>
        </w:rPr>
        <w:t>（12）符合法律、行政法规规定的其他条件。</w:t>
      </w:r>
    </w:p>
    <w:p>
      <w:pPr>
        <w:pStyle w:val="11"/>
        <w:tabs>
          <w:tab w:val="clear" w:pos="1571"/>
        </w:tabs>
        <w:rPr>
          <w:color w:val="auto"/>
        </w:rPr>
      </w:pPr>
      <w:r>
        <w:rPr>
          <w:rFonts w:hint="eastAsia"/>
          <w:color w:val="auto"/>
        </w:rPr>
        <w:t>合格设备和服务</w:t>
      </w:r>
    </w:p>
    <w:p>
      <w:pPr>
        <w:widowControl/>
        <w:spacing w:line="360" w:lineRule="auto"/>
        <w:ind w:left="180" w:firstLine="840" w:firstLineChars="400"/>
        <w:jc w:val="left"/>
        <w:rPr>
          <w:color w:val="auto"/>
        </w:rPr>
      </w:pPr>
      <w:r>
        <w:rPr>
          <w:rFonts w:hint="eastAsia"/>
          <w:color w:val="auto"/>
        </w:rPr>
        <w:t>（1）投标人提供的投标设备、技术培训、服务等应来自于招标文件规定的合格的原产地。</w:t>
      </w:r>
    </w:p>
    <w:p>
      <w:pPr>
        <w:widowControl/>
        <w:spacing w:line="360" w:lineRule="auto"/>
        <w:ind w:left="1012" w:leftChars="482"/>
        <w:jc w:val="left"/>
        <w:rPr>
          <w:color w:val="auto"/>
        </w:rPr>
      </w:pPr>
      <w:r>
        <w:rPr>
          <w:rFonts w:hint="eastAsia"/>
          <w:color w:val="auto"/>
        </w:rPr>
        <w:t>（2）合格的原产地系指投标设备或其部件的生产地为中华人民共和国或与中华人民共和国有正常贸易往来的国家或地区。投标设备或其部件是通过制造、加工或用重要的和主要的原部件装配而成的，其基本特性或功能或效用应是商业上公认、与原部件有着实质性区别的产品。</w:t>
      </w:r>
    </w:p>
    <w:p>
      <w:pPr>
        <w:pStyle w:val="10"/>
        <w:tabs>
          <w:tab w:val="clear" w:pos="2278"/>
        </w:tabs>
        <w:spacing w:before="120" w:after="120"/>
        <w:rPr>
          <w:color w:val="auto"/>
        </w:rPr>
      </w:pPr>
      <w:bookmarkStart w:id="8" w:name="_Toc67558689"/>
      <w:r>
        <w:rPr>
          <w:rFonts w:hint="eastAsia"/>
          <w:color w:val="auto"/>
        </w:rPr>
        <w:t>注意事项</w:t>
      </w:r>
      <w:bookmarkEnd w:id="8"/>
    </w:p>
    <w:p>
      <w:pPr>
        <w:pStyle w:val="11"/>
        <w:tabs>
          <w:tab w:val="clear" w:pos="1571"/>
        </w:tabs>
        <w:rPr>
          <w:color w:val="auto"/>
        </w:rPr>
      </w:pPr>
      <w:r>
        <w:rPr>
          <w:rFonts w:hint="eastAsia"/>
          <w:color w:val="auto"/>
        </w:rPr>
        <w:t>在投标文件评审期间，除投标人被要求对投标文件进行解释外，投标人不得就与招标有关的事项主动与评审委员会以及招标人联系。</w:t>
      </w:r>
    </w:p>
    <w:p>
      <w:pPr>
        <w:pStyle w:val="11"/>
        <w:tabs>
          <w:tab w:val="clear" w:pos="1571"/>
        </w:tabs>
        <w:rPr>
          <w:color w:val="auto"/>
        </w:rPr>
      </w:pPr>
      <w:r>
        <w:rPr>
          <w:rFonts w:hint="eastAsia"/>
          <w:color w:val="auto"/>
        </w:rPr>
        <w:t>在投标文件评审期间，投标人试图在投标文件审查、解释、比较和评价时对评审委员会施加任何影响或对招标人的评审结果进行影响，都可能导致其投标文件被拒绝。</w:t>
      </w:r>
    </w:p>
    <w:p>
      <w:pPr>
        <w:pStyle w:val="11"/>
        <w:tabs>
          <w:tab w:val="clear" w:pos="1571"/>
        </w:tabs>
        <w:rPr>
          <w:color w:val="auto"/>
        </w:rPr>
      </w:pPr>
      <w:r>
        <w:rPr>
          <w:rFonts w:hint="eastAsia"/>
          <w:color w:val="auto"/>
        </w:rPr>
        <w:t>投标人不得串通作弊，以不正当的手段妨碍、排挤其他投标人，破坏公平竞争原则。</w:t>
      </w:r>
    </w:p>
    <w:p>
      <w:pPr>
        <w:pStyle w:val="11"/>
        <w:tabs>
          <w:tab w:val="clear" w:pos="1571"/>
        </w:tabs>
        <w:rPr>
          <w:color w:val="auto"/>
        </w:rPr>
      </w:pPr>
      <w:r>
        <w:rPr>
          <w:rFonts w:hint="eastAsia"/>
          <w:color w:val="auto"/>
        </w:rPr>
        <w:t>获得本招标文件者，应对文件进行保密，不得用作本次招标以外的任何用途。</w:t>
      </w:r>
    </w:p>
    <w:p>
      <w:pPr>
        <w:pStyle w:val="11"/>
        <w:tabs>
          <w:tab w:val="clear" w:pos="1571"/>
        </w:tabs>
        <w:rPr>
          <w:color w:val="auto"/>
        </w:rPr>
      </w:pPr>
      <w:r>
        <w:rPr>
          <w:rFonts w:hint="eastAsia"/>
          <w:color w:val="auto"/>
        </w:rPr>
        <w:t>招标人向投标人提供的</w:t>
      </w:r>
      <w:r>
        <w:rPr>
          <w:rFonts w:ascii="Arial" w:hAnsi="Arial"/>
          <w:color w:val="auto"/>
        </w:rPr>
        <w:t>公司介绍、项目背景、项目内容和开展计划等相关资料，</w:t>
      </w:r>
      <w:r>
        <w:rPr>
          <w:rFonts w:hint="eastAsia"/>
          <w:color w:val="auto"/>
        </w:rPr>
        <w:t>被视为保密资料，仅被用于它所规定的用途，除非得到招标人的同意，不能向任何第三方透露。</w:t>
      </w:r>
      <w:r>
        <w:rPr>
          <w:rFonts w:ascii="Arial" w:hAnsi="Arial"/>
          <w:color w:val="auto"/>
        </w:rPr>
        <w:t>否则招标人将保留采取</w:t>
      </w:r>
      <w:r>
        <w:rPr>
          <w:rFonts w:hint="eastAsia" w:ascii="Arial" w:hAnsi="Arial"/>
          <w:color w:val="auto"/>
        </w:rPr>
        <w:t>相应</w:t>
      </w:r>
      <w:r>
        <w:rPr>
          <w:rFonts w:ascii="Arial" w:hAnsi="Arial"/>
          <w:color w:val="auto"/>
        </w:rPr>
        <w:t>法律措施的权利</w:t>
      </w:r>
      <w:r>
        <w:rPr>
          <w:rFonts w:hint="eastAsia"/>
          <w:color w:val="auto"/>
        </w:rPr>
        <w:t>。</w:t>
      </w:r>
    </w:p>
    <w:p>
      <w:pPr>
        <w:pStyle w:val="11"/>
        <w:tabs>
          <w:tab w:val="clear" w:pos="1571"/>
        </w:tabs>
        <w:rPr>
          <w:color w:val="auto"/>
        </w:rPr>
      </w:pPr>
      <w:r>
        <w:rPr>
          <w:rFonts w:hint="eastAsia"/>
          <w:color w:val="auto"/>
        </w:rPr>
        <w:t>投标人利用不当手段，误导其他投标人</w:t>
      </w:r>
      <w:r>
        <w:rPr>
          <w:rFonts w:hint="eastAsia"/>
          <w:color w:val="auto"/>
        </w:rPr>
        <w:t>做出非合理</w:t>
      </w:r>
      <w:r>
        <w:rPr>
          <w:rFonts w:hint="eastAsia"/>
          <w:color w:val="auto"/>
        </w:rPr>
        <w:t>行为，均会导致其投标文件被拒绝。</w:t>
      </w:r>
    </w:p>
    <w:p>
      <w:pPr>
        <w:pStyle w:val="10"/>
        <w:tabs>
          <w:tab w:val="clear" w:pos="2278"/>
        </w:tabs>
        <w:spacing w:before="120" w:after="120"/>
        <w:rPr>
          <w:color w:val="auto"/>
        </w:rPr>
      </w:pPr>
      <w:bookmarkStart w:id="9" w:name="_Toc67558690"/>
      <w:r>
        <w:rPr>
          <w:rFonts w:hint="eastAsia"/>
          <w:color w:val="auto"/>
        </w:rPr>
        <w:t>保证</w:t>
      </w:r>
      <w:bookmarkEnd w:id="9"/>
    </w:p>
    <w:p>
      <w:pPr>
        <w:pStyle w:val="11"/>
        <w:tabs>
          <w:tab w:val="clear" w:pos="1571"/>
        </w:tabs>
        <w:rPr>
          <w:color w:val="auto"/>
        </w:rPr>
      </w:pPr>
      <w:r>
        <w:rPr>
          <w:rFonts w:hint="eastAsia"/>
          <w:color w:val="auto"/>
        </w:rPr>
        <w:t>投标人保证所提交给招标人的资料和数据是真实的、完整的、合法的和有效的，并对此承担相应的法律责任。</w:t>
      </w:r>
    </w:p>
    <w:p>
      <w:pPr>
        <w:pStyle w:val="10"/>
        <w:tabs>
          <w:tab w:val="clear" w:pos="2278"/>
        </w:tabs>
        <w:spacing w:before="120" w:after="120"/>
        <w:rPr>
          <w:color w:val="auto"/>
        </w:rPr>
      </w:pPr>
      <w:bookmarkStart w:id="10" w:name="_Toc67558691"/>
      <w:r>
        <w:rPr>
          <w:rFonts w:hint="eastAsia"/>
          <w:color w:val="auto"/>
        </w:rPr>
        <w:t>相关费用</w:t>
      </w:r>
      <w:bookmarkEnd w:id="10"/>
    </w:p>
    <w:p>
      <w:pPr>
        <w:pStyle w:val="11"/>
        <w:tabs>
          <w:tab w:val="clear" w:pos="1571"/>
        </w:tabs>
        <w:rPr>
          <w:color w:val="auto"/>
        </w:rPr>
      </w:pPr>
      <w:r>
        <w:rPr>
          <w:rFonts w:hint="eastAsia"/>
          <w:color w:val="auto"/>
        </w:rPr>
        <w:t>投标人应承担其编制、提交投标文件以及参加本次招标的所有费用，不论招标的结果如何，招标人在任何情况下均无义务和责任承担这些费用。</w:t>
      </w:r>
    </w:p>
    <w:p>
      <w:pPr>
        <w:pStyle w:val="10"/>
        <w:tabs>
          <w:tab w:val="clear" w:pos="2278"/>
        </w:tabs>
        <w:spacing w:before="120" w:after="120"/>
        <w:rPr>
          <w:color w:val="auto"/>
        </w:rPr>
      </w:pPr>
      <w:bookmarkStart w:id="11" w:name="_Toc67558692"/>
      <w:r>
        <w:rPr>
          <w:rFonts w:hint="eastAsia"/>
          <w:color w:val="auto"/>
        </w:rPr>
        <w:t>其它要求</w:t>
      </w:r>
      <w:bookmarkEnd w:id="11"/>
    </w:p>
    <w:p>
      <w:pPr>
        <w:pStyle w:val="11"/>
        <w:tabs>
          <w:tab w:val="clear" w:pos="1571"/>
        </w:tabs>
        <w:rPr>
          <w:color w:val="auto"/>
        </w:rPr>
      </w:pPr>
      <w:r>
        <w:rPr>
          <w:rFonts w:hint="eastAsia"/>
          <w:color w:val="auto"/>
        </w:rPr>
        <w:t>中标人在项目实施中，我行提供的业务、技术信息和所有相关文档为我行重要保密信息，一切由中标人导致的信息泄露所造成的损失，由中标人承担。</w:t>
      </w:r>
    </w:p>
    <w:p>
      <w:pPr>
        <w:pStyle w:val="9"/>
        <w:tabs>
          <w:tab w:val="clear" w:pos="432"/>
        </w:tabs>
        <w:rPr>
          <w:color w:val="auto"/>
        </w:rPr>
      </w:pPr>
      <w:bookmarkStart w:id="12" w:name="_Toc67558693"/>
      <w:r>
        <w:rPr>
          <w:rFonts w:hint="eastAsia"/>
          <w:color w:val="auto"/>
        </w:rPr>
        <w:t>招标文件</w:t>
      </w:r>
      <w:bookmarkEnd w:id="12"/>
    </w:p>
    <w:p>
      <w:pPr>
        <w:pStyle w:val="10"/>
        <w:tabs>
          <w:tab w:val="clear" w:pos="2278"/>
        </w:tabs>
        <w:spacing w:before="120" w:after="120"/>
        <w:rPr>
          <w:color w:val="auto"/>
        </w:rPr>
      </w:pPr>
      <w:bookmarkStart w:id="13" w:name="_Toc67558694"/>
      <w:r>
        <w:rPr>
          <w:rFonts w:hint="eastAsia"/>
          <w:color w:val="auto"/>
        </w:rPr>
        <w:t>招标文件构成</w:t>
      </w:r>
      <w:bookmarkEnd w:id="13"/>
    </w:p>
    <w:p>
      <w:pPr>
        <w:pStyle w:val="11"/>
        <w:tabs>
          <w:tab w:val="clear" w:pos="1571"/>
        </w:tabs>
        <w:rPr>
          <w:color w:val="auto"/>
        </w:rPr>
      </w:pPr>
      <w:r>
        <w:rPr>
          <w:rFonts w:hint="eastAsia"/>
          <w:color w:val="auto"/>
        </w:rPr>
        <w:t>招标文件包括：</w:t>
      </w:r>
    </w:p>
    <w:p>
      <w:pPr>
        <w:spacing w:line="360" w:lineRule="auto"/>
        <w:ind w:left="1077"/>
        <w:rPr>
          <w:rFonts w:ascii="宋体"/>
          <w:b/>
          <w:color w:val="auto"/>
        </w:rPr>
      </w:pPr>
      <w:r>
        <w:rPr>
          <w:rFonts w:hint="eastAsia" w:ascii="宋体"/>
          <w:b/>
          <w:color w:val="auto"/>
        </w:rPr>
        <w:t xml:space="preserve">第一部分   </w:t>
      </w:r>
      <w:r>
        <w:rPr>
          <w:rFonts w:hint="eastAsia" w:ascii="宋体" w:hAnsi="宋体"/>
          <w:b/>
          <w:color w:val="auto"/>
        </w:rPr>
        <w:t>投标人须知</w:t>
      </w:r>
    </w:p>
    <w:p>
      <w:pPr>
        <w:spacing w:line="360" w:lineRule="auto"/>
        <w:ind w:left="1077"/>
        <w:rPr>
          <w:rFonts w:ascii="宋体"/>
          <w:b/>
          <w:color w:val="auto"/>
        </w:rPr>
      </w:pPr>
      <w:r>
        <w:rPr>
          <w:rFonts w:hint="eastAsia" w:ascii="宋体"/>
          <w:b/>
          <w:color w:val="auto"/>
        </w:rPr>
        <w:t>第二部分   产品需求说明书</w:t>
      </w:r>
    </w:p>
    <w:p>
      <w:pPr>
        <w:spacing w:line="360" w:lineRule="auto"/>
        <w:ind w:left="1077"/>
        <w:rPr>
          <w:rFonts w:ascii="宋体"/>
          <w:b/>
          <w:color w:val="auto"/>
        </w:rPr>
      </w:pPr>
      <w:r>
        <w:rPr>
          <w:rFonts w:hint="eastAsia" w:ascii="宋体"/>
          <w:b/>
          <w:color w:val="auto"/>
        </w:rPr>
        <w:t>第三部分   投标文件格式</w:t>
      </w:r>
    </w:p>
    <w:p>
      <w:pPr>
        <w:pStyle w:val="11"/>
        <w:tabs>
          <w:tab w:val="clear" w:pos="1571"/>
        </w:tabs>
        <w:rPr>
          <w:color w:val="auto"/>
        </w:rPr>
      </w:pPr>
      <w:r>
        <w:rPr>
          <w:rFonts w:hint="eastAsia"/>
          <w:color w:val="auto"/>
        </w:rPr>
        <w:t>投标人应认真阅读招标文件中所有的事项、格式、条款和技术规范等。投标人没有按照招标文件要求提交全部资料，或者投标文件没有对招标文件各方面要求作出实质性响应，将有可能导致其投标文件被拒绝。</w:t>
      </w:r>
    </w:p>
    <w:p>
      <w:pPr>
        <w:pStyle w:val="10"/>
        <w:tabs>
          <w:tab w:val="clear" w:pos="2278"/>
        </w:tabs>
        <w:spacing w:before="120" w:after="120"/>
        <w:rPr>
          <w:color w:val="auto"/>
        </w:rPr>
      </w:pPr>
      <w:bookmarkStart w:id="14" w:name="_Toc67558695"/>
      <w:r>
        <w:rPr>
          <w:rFonts w:hint="eastAsia"/>
          <w:color w:val="auto"/>
        </w:rPr>
        <w:t>招标文件的解释与修改</w:t>
      </w:r>
      <w:bookmarkEnd w:id="14"/>
    </w:p>
    <w:p>
      <w:pPr>
        <w:pStyle w:val="11"/>
        <w:tabs>
          <w:tab w:val="clear" w:pos="1571"/>
        </w:tabs>
        <w:rPr>
          <w:color w:val="auto"/>
        </w:rPr>
      </w:pPr>
      <w:r>
        <w:rPr>
          <w:rFonts w:hint="eastAsia"/>
          <w:color w:val="auto"/>
        </w:rPr>
        <w:t>在提交投标文件之前，招标人以书面形式对任何要求对招标文件进行澄清的，投标人应予以逐条答复，并将该书面答复发送给招标文件的每个收受人。</w:t>
      </w:r>
    </w:p>
    <w:p>
      <w:pPr>
        <w:pStyle w:val="11"/>
        <w:tabs>
          <w:tab w:val="clear" w:pos="1571"/>
        </w:tabs>
        <w:rPr>
          <w:color w:val="auto"/>
        </w:rPr>
      </w:pPr>
      <w:r>
        <w:rPr>
          <w:rFonts w:hint="eastAsia"/>
          <w:color w:val="auto"/>
        </w:rPr>
        <w:t>在提交投标文件之前，无论出于何种原因，招标人可随时在解答投标人提出的需澄清的问题时，向招标文件的所有收受人发送对招标文件的修改文件。</w:t>
      </w:r>
    </w:p>
    <w:p>
      <w:pPr>
        <w:pStyle w:val="11"/>
        <w:tabs>
          <w:tab w:val="clear" w:pos="1571"/>
        </w:tabs>
        <w:rPr>
          <w:color w:val="auto"/>
        </w:rPr>
      </w:pPr>
      <w:r>
        <w:rPr>
          <w:rFonts w:hint="eastAsia"/>
          <w:color w:val="auto"/>
        </w:rPr>
        <w:t>招标文件的澄清和修改文件将以书面形式通知招标文件的所有收受人，该澄清和修改文件也是招标文件的组成部份，并对投标人具有约束力。</w:t>
      </w:r>
    </w:p>
    <w:p>
      <w:pPr>
        <w:pStyle w:val="11"/>
        <w:tabs>
          <w:tab w:val="clear" w:pos="1571"/>
        </w:tabs>
        <w:rPr>
          <w:color w:val="auto"/>
        </w:rPr>
      </w:pPr>
      <w:r>
        <w:rPr>
          <w:rFonts w:hint="eastAsia"/>
          <w:color w:val="auto"/>
        </w:rPr>
        <w:t>为使投标人编写投标文件时有充分时间对招标文件的修改部分进行研究，招标人可酌情推迟递交投标文件截止时间，并将推迟决定以电话/传真形式通知所有招标文件的收受人。</w:t>
      </w:r>
    </w:p>
    <w:p>
      <w:pPr>
        <w:pStyle w:val="11"/>
        <w:tabs>
          <w:tab w:val="clear" w:pos="1571"/>
        </w:tabs>
        <w:rPr>
          <w:color w:val="auto"/>
        </w:rPr>
      </w:pPr>
      <w:r>
        <w:rPr>
          <w:rFonts w:hint="eastAsia"/>
          <w:color w:val="auto"/>
        </w:rPr>
        <w:t>投标人在收到招标人发给的任何澄清和修改文件时，都应在收到后立即以书面或传真形式向招标人确认。</w:t>
      </w:r>
    </w:p>
    <w:p>
      <w:pPr>
        <w:pStyle w:val="9"/>
        <w:tabs>
          <w:tab w:val="clear" w:pos="432"/>
        </w:tabs>
        <w:rPr>
          <w:color w:val="auto"/>
        </w:rPr>
      </w:pPr>
      <w:bookmarkStart w:id="15" w:name="_Toc67558696"/>
      <w:r>
        <w:rPr>
          <w:rFonts w:hint="eastAsia"/>
          <w:color w:val="auto"/>
        </w:rPr>
        <w:t>投标文件的编制</w:t>
      </w:r>
      <w:bookmarkEnd w:id="15"/>
    </w:p>
    <w:p>
      <w:pPr>
        <w:pStyle w:val="10"/>
        <w:tabs>
          <w:tab w:val="clear" w:pos="2278"/>
        </w:tabs>
        <w:spacing w:before="120" w:after="120"/>
        <w:rPr>
          <w:color w:val="auto"/>
        </w:rPr>
      </w:pPr>
      <w:bookmarkStart w:id="16" w:name="_Toc67558697"/>
      <w:r>
        <w:rPr>
          <w:rFonts w:hint="eastAsia"/>
          <w:color w:val="auto"/>
        </w:rPr>
        <w:t>投标语言及计量</w:t>
      </w:r>
      <w:bookmarkEnd w:id="16"/>
    </w:p>
    <w:p>
      <w:pPr>
        <w:pStyle w:val="11"/>
        <w:tabs>
          <w:tab w:val="clear" w:pos="1571"/>
        </w:tabs>
        <w:rPr>
          <w:color w:val="auto"/>
        </w:rPr>
      </w:pPr>
      <w:r>
        <w:rPr>
          <w:rFonts w:hint="eastAsia"/>
          <w:color w:val="auto"/>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rPr>
          <w:color w:val="auto"/>
        </w:rPr>
        <w:t>错误或</w:t>
      </w:r>
      <w:r>
        <w:rPr>
          <w:rFonts w:hint="eastAsia"/>
          <w:color w:val="auto"/>
        </w:rPr>
        <w:t>因投标人与招标人对回复文件中文版本的理解存在</w:t>
      </w:r>
      <w:r>
        <w:rPr>
          <w:color w:val="auto"/>
        </w:rPr>
        <w:t>差异而导致的机会丧失或其他问题，自行承担风险。</w:t>
      </w:r>
    </w:p>
    <w:p>
      <w:pPr>
        <w:pStyle w:val="11"/>
        <w:tabs>
          <w:tab w:val="clear" w:pos="1571"/>
        </w:tabs>
        <w:rPr>
          <w:color w:val="auto"/>
        </w:rPr>
      </w:pPr>
      <w:r>
        <w:rPr>
          <w:rFonts w:hint="eastAsia"/>
          <w:color w:val="auto"/>
        </w:rPr>
        <w:t>投标人提交的投标文件中涉及简称或缩写的须注明其中文全称和中文含义。</w:t>
      </w:r>
    </w:p>
    <w:p>
      <w:pPr>
        <w:pStyle w:val="11"/>
        <w:tabs>
          <w:tab w:val="clear" w:pos="1571"/>
        </w:tabs>
        <w:rPr>
          <w:color w:val="auto"/>
        </w:rPr>
      </w:pPr>
      <w:r>
        <w:rPr>
          <w:rFonts w:hint="eastAsia"/>
          <w:color w:val="auto"/>
        </w:rPr>
        <w:t>除非在招标文件中另有规定，投标人在投标文件中及其与招标人的所有往来文件中的计量单位均应采用中华人民共和国法定计量单位。</w:t>
      </w:r>
    </w:p>
    <w:p>
      <w:pPr>
        <w:pStyle w:val="11"/>
        <w:tabs>
          <w:tab w:val="clear" w:pos="1571"/>
        </w:tabs>
        <w:rPr>
          <w:color w:val="auto"/>
        </w:rPr>
      </w:pPr>
      <w:r>
        <w:rPr>
          <w:rFonts w:hint="eastAsia"/>
          <w:color w:val="auto"/>
        </w:rPr>
        <w:t xml:space="preserve">投标人提供的任何资料中所提及的业务和技术用语，应符合国内银行业务和技术监管部门的通用解释，有差异的应特别注明。 </w:t>
      </w:r>
    </w:p>
    <w:p>
      <w:pPr>
        <w:pStyle w:val="10"/>
        <w:tabs>
          <w:tab w:val="clear" w:pos="2278"/>
        </w:tabs>
        <w:spacing w:before="120" w:after="120"/>
        <w:rPr>
          <w:color w:val="auto"/>
        </w:rPr>
      </w:pPr>
      <w:bookmarkStart w:id="17" w:name="_Toc67558698"/>
      <w:r>
        <w:rPr>
          <w:rFonts w:hint="eastAsia"/>
          <w:color w:val="auto"/>
        </w:rPr>
        <w:t>投标文件的式样和签署</w:t>
      </w:r>
      <w:bookmarkEnd w:id="17"/>
    </w:p>
    <w:p>
      <w:pPr>
        <w:pStyle w:val="11"/>
        <w:tabs>
          <w:tab w:val="clear" w:pos="1571"/>
        </w:tabs>
        <w:rPr>
          <w:color w:val="auto"/>
        </w:rPr>
      </w:pPr>
      <w:r>
        <w:rPr>
          <w:rFonts w:hint="eastAsia"/>
          <w:color w:val="auto"/>
        </w:rPr>
        <w:t>投标人应准备投标文件</w:t>
      </w:r>
      <w:r>
        <w:rPr>
          <w:rFonts w:hint="eastAsia"/>
          <w:b/>
          <w:i/>
          <w:color w:val="auto"/>
          <w:u w:val="single"/>
        </w:rPr>
        <w:t>一份正本和4份副本</w:t>
      </w:r>
      <w:r>
        <w:rPr>
          <w:rFonts w:hint="eastAsia"/>
          <w:color w:val="auto"/>
        </w:rPr>
        <w:t>，投标文件须清楚地标明“正本”和“副本”字样。如正本和副本不符，以正本为准。</w:t>
      </w:r>
    </w:p>
    <w:p>
      <w:pPr>
        <w:pStyle w:val="11"/>
        <w:tabs>
          <w:tab w:val="clear" w:pos="1571"/>
        </w:tabs>
        <w:rPr>
          <w:color w:val="auto"/>
        </w:rPr>
      </w:pPr>
      <w:r>
        <w:rPr>
          <w:rFonts w:hint="eastAsia"/>
          <w:color w:val="auto"/>
        </w:rPr>
        <w:t>投标文件正本须用不褪色墨水书写或打印，由投标人的法定代表人或经其正式授权的代表签署。被授权代表须将以书面形式出具的《法定代表人授权书》</w:t>
      </w:r>
      <w:r>
        <w:rPr>
          <w:rFonts w:hint="eastAsia"/>
          <w:b/>
          <w:color w:val="auto"/>
        </w:rPr>
        <w:t>（原件）</w:t>
      </w:r>
      <w:r>
        <w:rPr>
          <w:rFonts w:hint="eastAsia"/>
          <w:color w:val="auto"/>
        </w:rPr>
        <w:t>附在投标文件中。</w:t>
      </w:r>
    </w:p>
    <w:p>
      <w:pPr>
        <w:pStyle w:val="11"/>
        <w:tabs>
          <w:tab w:val="clear" w:pos="1571"/>
        </w:tabs>
        <w:rPr>
          <w:color w:val="auto"/>
        </w:rPr>
      </w:pPr>
      <w:r>
        <w:rPr>
          <w:rFonts w:hint="eastAsia"/>
          <w:color w:val="auto"/>
        </w:rPr>
        <w:t>投标文件的任何行间插字、涂改和增删，必须由投标人在旁边加盖公章才有效。</w:t>
      </w:r>
    </w:p>
    <w:p>
      <w:pPr>
        <w:pStyle w:val="11"/>
        <w:tabs>
          <w:tab w:val="clear" w:pos="1571"/>
        </w:tabs>
        <w:rPr>
          <w:color w:val="auto"/>
        </w:rPr>
      </w:pPr>
      <w:r>
        <w:rPr>
          <w:rFonts w:hint="eastAsia"/>
          <w:color w:val="auto"/>
        </w:rPr>
        <w:t>在招标文件中已明示需盖章及签名之处，投标文件正本均须由投标人加盖投标人公章，并经投标人法定代表人或其授权代表签名或盖章。</w:t>
      </w:r>
      <w:r>
        <w:rPr>
          <w:rFonts w:hint="eastAsia"/>
          <w:b/>
          <w:color w:val="auto"/>
        </w:rPr>
        <w:t>投标文件</w:t>
      </w:r>
      <w:r>
        <w:rPr>
          <w:rFonts w:hint="eastAsia" w:hAnsi="宋体"/>
          <w:b/>
          <w:color w:val="auto"/>
        </w:rPr>
        <w:t>正本须加盖投标人公章骑缝章</w:t>
      </w:r>
      <w:r>
        <w:rPr>
          <w:rFonts w:hint="eastAsia" w:hAnsi="宋体"/>
          <w:color w:val="auto"/>
        </w:rPr>
        <w:t>。</w:t>
      </w:r>
    </w:p>
    <w:p>
      <w:pPr>
        <w:pStyle w:val="11"/>
        <w:tabs>
          <w:tab w:val="clear" w:pos="1571"/>
        </w:tabs>
        <w:rPr>
          <w:color w:val="auto"/>
        </w:rPr>
      </w:pPr>
      <w:r>
        <w:rPr>
          <w:rFonts w:hint="eastAsia"/>
          <w:color w:val="auto"/>
        </w:rPr>
        <w:t>投标文件副本可采用投标文件的正本复印而成。</w:t>
      </w:r>
    </w:p>
    <w:p>
      <w:pPr>
        <w:pStyle w:val="11"/>
        <w:tabs>
          <w:tab w:val="clear" w:pos="1571"/>
        </w:tabs>
        <w:rPr>
          <w:color w:val="auto"/>
        </w:rPr>
      </w:pPr>
      <w:r>
        <w:rPr>
          <w:rFonts w:hint="eastAsia"/>
          <w:color w:val="auto"/>
        </w:rPr>
        <w:t>传真或电传的投标文件将被拒绝。</w:t>
      </w:r>
    </w:p>
    <w:p>
      <w:pPr>
        <w:pStyle w:val="11"/>
        <w:tabs>
          <w:tab w:val="clear" w:pos="1571"/>
        </w:tabs>
        <w:rPr>
          <w:color w:val="auto"/>
        </w:rPr>
      </w:pPr>
      <w:r>
        <w:rPr>
          <w:rFonts w:hint="eastAsia"/>
          <w:color w:val="auto"/>
        </w:rPr>
        <w:t>由于投标文件正本、副本相互之间任何不符而导致的所有后果，由投标人自行承担。</w:t>
      </w:r>
    </w:p>
    <w:p>
      <w:pPr>
        <w:pStyle w:val="10"/>
        <w:tabs>
          <w:tab w:val="clear" w:pos="2278"/>
        </w:tabs>
        <w:spacing w:before="120" w:after="120"/>
        <w:rPr>
          <w:color w:val="auto"/>
        </w:rPr>
      </w:pPr>
      <w:bookmarkStart w:id="18" w:name="_Toc67558699"/>
      <w:r>
        <w:rPr>
          <w:rFonts w:hint="eastAsia"/>
          <w:color w:val="auto"/>
        </w:rPr>
        <w:t>投标文件的构成</w:t>
      </w:r>
      <w:bookmarkEnd w:id="18"/>
    </w:p>
    <w:p>
      <w:pPr>
        <w:pStyle w:val="11"/>
        <w:tabs>
          <w:tab w:val="clear" w:pos="1571"/>
        </w:tabs>
        <w:rPr>
          <w:color w:val="auto"/>
        </w:rPr>
      </w:pPr>
      <w:r>
        <w:rPr>
          <w:rFonts w:hint="eastAsia"/>
          <w:color w:val="auto"/>
        </w:rPr>
        <w:t>投标人应认真审阅本招标文件，并按相关规定，提交完整的投标文件。本次招标要求投标方提供产品、实施、培训、服务等一揽子解决方案及报价。</w:t>
      </w:r>
    </w:p>
    <w:p>
      <w:pPr>
        <w:pStyle w:val="11"/>
        <w:tabs>
          <w:tab w:val="clear" w:pos="1571"/>
        </w:tabs>
        <w:rPr>
          <w:color w:val="auto"/>
        </w:rPr>
      </w:pPr>
      <w:r>
        <w:rPr>
          <w:rFonts w:hint="eastAsia"/>
          <w:color w:val="auto"/>
        </w:rPr>
        <w:t>投标人编写的投标文件应编排为两部分：（1）商务投标文件；（2）技术投标文件。</w:t>
      </w:r>
    </w:p>
    <w:p>
      <w:pPr>
        <w:pStyle w:val="11"/>
        <w:tabs>
          <w:tab w:val="clear" w:pos="1571"/>
        </w:tabs>
        <w:rPr>
          <w:color w:val="auto"/>
        </w:rPr>
      </w:pPr>
      <w:r>
        <w:rPr>
          <w:rFonts w:hint="eastAsia"/>
          <w:color w:val="auto"/>
        </w:rPr>
        <w:t>商务投标文件的格式要求如下：</w:t>
      </w:r>
    </w:p>
    <w:p>
      <w:pPr>
        <w:widowControl/>
        <w:spacing w:line="360" w:lineRule="auto"/>
        <w:ind w:left="180" w:firstLine="630" w:firstLineChars="300"/>
        <w:jc w:val="left"/>
        <w:rPr>
          <w:color w:val="auto"/>
        </w:rPr>
      </w:pPr>
      <w:r>
        <w:rPr>
          <w:rFonts w:hint="eastAsia"/>
          <w:color w:val="auto"/>
        </w:rPr>
        <w:t xml:space="preserve">（1）投标函（格式见第三部分：投标文件格式）； </w:t>
      </w:r>
    </w:p>
    <w:p>
      <w:pPr>
        <w:widowControl/>
        <w:spacing w:line="360" w:lineRule="auto"/>
        <w:ind w:left="180" w:firstLine="630" w:firstLineChars="300"/>
        <w:jc w:val="left"/>
        <w:rPr>
          <w:color w:val="auto"/>
        </w:rPr>
      </w:pPr>
      <w:r>
        <w:rPr>
          <w:rFonts w:hint="eastAsia"/>
          <w:color w:val="auto"/>
        </w:rPr>
        <w:t>（2）投标报价表（格式见第三部分：投标文件格式）；</w:t>
      </w:r>
    </w:p>
    <w:p>
      <w:pPr>
        <w:widowControl/>
        <w:spacing w:line="360" w:lineRule="auto"/>
        <w:ind w:firstLine="840" w:firstLineChars="400"/>
        <w:jc w:val="left"/>
        <w:rPr>
          <w:color w:val="auto"/>
        </w:rPr>
      </w:pPr>
      <w:r>
        <w:rPr>
          <w:rFonts w:hint="eastAsia"/>
          <w:color w:val="auto"/>
        </w:rPr>
        <w:t xml:space="preserve">（3）法定代表人授权委托书及授权人与被授权人身份证； </w:t>
      </w:r>
    </w:p>
    <w:p>
      <w:pPr>
        <w:widowControl/>
        <w:spacing w:line="360" w:lineRule="auto"/>
        <w:ind w:left="1470" w:leftChars="400" w:hanging="630" w:hangingChars="300"/>
        <w:rPr>
          <w:rFonts w:ascii="宋体"/>
          <w:color w:val="auto"/>
          <w:kern w:val="0"/>
          <w:szCs w:val="22"/>
        </w:rPr>
      </w:pPr>
      <w:r>
        <w:rPr>
          <w:rFonts w:hint="eastAsia"/>
          <w:color w:val="auto"/>
        </w:rPr>
        <w:t>（4）</w:t>
      </w:r>
      <w:r>
        <w:rPr>
          <w:rFonts w:hint="eastAsia" w:ascii="宋体"/>
          <w:color w:val="auto"/>
          <w:kern w:val="0"/>
          <w:szCs w:val="22"/>
        </w:rPr>
        <w:t>公司介绍：包括但不限于公司注册资本、业务规模、组织架构、财务状况、技术队伍及实施服务能力等，以及证明公司综合实力、技术力量、开发经验、信誉和资质的材料复印件；</w:t>
      </w:r>
    </w:p>
    <w:p>
      <w:pPr>
        <w:widowControl/>
        <w:spacing w:line="360" w:lineRule="auto"/>
        <w:ind w:left="180" w:firstLine="630" w:firstLineChars="300"/>
        <w:jc w:val="left"/>
        <w:rPr>
          <w:color w:val="auto"/>
        </w:rPr>
      </w:pPr>
      <w:r>
        <w:rPr>
          <w:rFonts w:hint="eastAsia"/>
          <w:color w:val="auto"/>
        </w:rPr>
        <w:t>（5）投标人应递交的有关证明文件；</w:t>
      </w:r>
    </w:p>
    <w:p>
      <w:pPr>
        <w:pStyle w:val="11"/>
        <w:tabs>
          <w:tab w:val="clear" w:pos="1571"/>
        </w:tabs>
        <w:rPr>
          <w:color w:val="auto"/>
        </w:rPr>
      </w:pPr>
      <w:r>
        <w:rPr>
          <w:rFonts w:hint="eastAsia"/>
          <w:color w:val="auto"/>
        </w:rPr>
        <w:t>技术投标文件的格式要求如下：</w:t>
      </w:r>
    </w:p>
    <w:p>
      <w:pPr>
        <w:widowControl/>
        <w:spacing w:line="360" w:lineRule="auto"/>
        <w:ind w:firstLine="840" w:firstLineChars="400"/>
        <w:jc w:val="left"/>
        <w:rPr>
          <w:color w:val="auto"/>
        </w:rPr>
      </w:pPr>
      <w:r>
        <w:rPr>
          <w:rFonts w:hint="eastAsia"/>
          <w:color w:val="auto"/>
        </w:rPr>
        <w:t>（1）投标货物名称、规格型号、配置及主要技术数据和性能的描述；</w:t>
      </w:r>
    </w:p>
    <w:p>
      <w:pPr>
        <w:widowControl/>
        <w:spacing w:line="360" w:lineRule="auto"/>
        <w:ind w:left="180" w:firstLine="630" w:firstLineChars="300"/>
        <w:jc w:val="left"/>
        <w:rPr>
          <w:color w:val="auto"/>
        </w:rPr>
      </w:pPr>
      <w:r>
        <w:rPr>
          <w:rFonts w:hint="eastAsia"/>
          <w:color w:val="auto"/>
        </w:rPr>
        <w:t>（2）制造、安装、验收标准；</w:t>
      </w:r>
    </w:p>
    <w:p>
      <w:pPr>
        <w:widowControl/>
        <w:spacing w:line="360" w:lineRule="auto"/>
        <w:ind w:left="1470" w:leftChars="400" w:hanging="630" w:hangingChars="300"/>
        <w:jc w:val="left"/>
        <w:rPr>
          <w:color w:val="auto"/>
        </w:rPr>
      </w:pPr>
      <w:r>
        <w:rPr>
          <w:rFonts w:hint="eastAsia"/>
          <w:color w:val="auto"/>
        </w:rPr>
        <w:t>（3）根据招标文件</w:t>
      </w:r>
      <w:r>
        <w:rPr>
          <w:rFonts w:hint="eastAsia"/>
          <w:b/>
          <w:color w:val="auto"/>
        </w:rPr>
        <w:t>第二部分《产品需求说明书》</w:t>
      </w:r>
      <w:r>
        <w:rPr>
          <w:rFonts w:hint="eastAsia"/>
          <w:color w:val="auto"/>
        </w:rPr>
        <w:t>提出的工程规划，提出对应的项目实施方案（包括并不限于实施方案、项目进度计划、资源保障等内容）；</w:t>
      </w:r>
    </w:p>
    <w:p>
      <w:pPr>
        <w:widowControl/>
        <w:spacing w:line="360" w:lineRule="auto"/>
        <w:ind w:left="1470" w:leftChars="400" w:hanging="630" w:hangingChars="300"/>
        <w:jc w:val="left"/>
        <w:rPr>
          <w:color w:val="auto"/>
        </w:rPr>
      </w:pPr>
      <w:r>
        <w:rPr>
          <w:rFonts w:hint="eastAsia"/>
          <w:color w:val="auto"/>
        </w:rPr>
        <w:t>（4）根据招标文件</w:t>
      </w:r>
      <w:r>
        <w:rPr>
          <w:rFonts w:hint="eastAsia"/>
          <w:b/>
          <w:color w:val="auto"/>
        </w:rPr>
        <w:t>第二部分《产品需求说明书》</w:t>
      </w:r>
      <w:r>
        <w:rPr>
          <w:rFonts w:hint="eastAsia"/>
          <w:color w:val="auto"/>
        </w:rPr>
        <w:t>提出的技术和业务需求，作出对应的技术规格和要求响应；</w:t>
      </w:r>
    </w:p>
    <w:p>
      <w:pPr>
        <w:widowControl/>
        <w:spacing w:line="360" w:lineRule="auto"/>
        <w:ind w:left="180" w:firstLine="630" w:firstLineChars="300"/>
        <w:jc w:val="left"/>
        <w:rPr>
          <w:color w:val="auto"/>
        </w:rPr>
      </w:pPr>
      <w:r>
        <w:rPr>
          <w:rFonts w:hint="eastAsia"/>
          <w:color w:val="auto"/>
        </w:rPr>
        <w:t>（5）投标人近三年来在金融行业承担的类似项目成功案例一览表；</w:t>
      </w:r>
    </w:p>
    <w:p>
      <w:pPr>
        <w:widowControl/>
        <w:spacing w:line="360" w:lineRule="auto"/>
        <w:ind w:left="1472" w:leftChars="400" w:hanging="632" w:hangingChars="300"/>
        <w:jc w:val="left"/>
        <w:rPr>
          <w:color w:val="auto"/>
        </w:rPr>
      </w:pPr>
      <w:r>
        <w:rPr>
          <w:rFonts w:hint="eastAsia"/>
          <w:b/>
          <w:color w:val="auto"/>
        </w:rPr>
        <w:t>（6）投标人的技术服务和售后服务承诺以及兑现这些承诺所具备的条件和保障措施（包括并不限于售后服务期限、费用、响应时间及方式、备件等）</w:t>
      </w:r>
      <w:r>
        <w:rPr>
          <w:rFonts w:hint="eastAsia"/>
          <w:color w:val="auto"/>
        </w:rPr>
        <w:t>；</w:t>
      </w:r>
    </w:p>
    <w:p>
      <w:pPr>
        <w:widowControl/>
        <w:spacing w:line="360" w:lineRule="auto"/>
        <w:ind w:left="180" w:firstLine="630" w:firstLineChars="300"/>
        <w:jc w:val="left"/>
        <w:rPr>
          <w:color w:val="auto"/>
        </w:rPr>
      </w:pPr>
      <w:r>
        <w:rPr>
          <w:rFonts w:hint="eastAsia"/>
          <w:color w:val="auto"/>
        </w:rPr>
        <w:t>（7）投标货物详细配置清单；</w:t>
      </w:r>
    </w:p>
    <w:p>
      <w:pPr>
        <w:widowControl/>
        <w:spacing w:line="360" w:lineRule="auto"/>
        <w:ind w:firstLine="840" w:firstLineChars="400"/>
        <w:jc w:val="left"/>
        <w:rPr>
          <w:color w:val="auto"/>
        </w:rPr>
      </w:pPr>
      <w:r>
        <w:rPr>
          <w:rFonts w:hint="eastAsia"/>
          <w:color w:val="auto"/>
        </w:rPr>
        <w:t>（8）设备安装、调试及验收方案；</w:t>
      </w:r>
    </w:p>
    <w:p>
      <w:pPr>
        <w:widowControl/>
        <w:spacing w:line="360" w:lineRule="auto"/>
        <w:ind w:firstLine="840" w:firstLineChars="400"/>
        <w:jc w:val="left"/>
        <w:rPr>
          <w:color w:val="auto"/>
        </w:rPr>
      </w:pPr>
      <w:r>
        <w:rPr>
          <w:rFonts w:hint="eastAsia"/>
          <w:color w:val="auto"/>
        </w:rPr>
        <w:t>（9）保证货物连续正常使用期间所需要的所有备件和专用工具的详细清单。</w:t>
      </w:r>
    </w:p>
    <w:p>
      <w:pPr>
        <w:pStyle w:val="11"/>
        <w:tabs>
          <w:tab w:val="clear" w:pos="1571"/>
        </w:tabs>
        <w:rPr>
          <w:color w:val="auto"/>
        </w:rPr>
      </w:pPr>
      <w:r>
        <w:rPr>
          <w:rFonts w:hint="eastAsia"/>
          <w:color w:val="auto"/>
        </w:rPr>
        <w:t>投标人必须按规定要求提供投标货物的详细技术资料，以方便评标委员会评标、定标。投标人提交的技术文件必须是“原件”而不是“复印件”，其中包括货物的主要性能、技术参数、结构特点、适用范围等，所提供的参考资料应尽可能全面详细。</w:t>
      </w:r>
    </w:p>
    <w:p>
      <w:pPr>
        <w:pStyle w:val="11"/>
        <w:tabs>
          <w:tab w:val="clear" w:pos="1571"/>
        </w:tabs>
        <w:rPr>
          <w:color w:val="auto"/>
        </w:rPr>
      </w:pPr>
      <w:r>
        <w:rPr>
          <w:rFonts w:hint="eastAsia"/>
          <w:color w:val="auto"/>
        </w:rPr>
        <w:t>重要提示</w:t>
      </w:r>
    </w:p>
    <w:p>
      <w:pPr>
        <w:widowControl/>
        <w:spacing w:line="360" w:lineRule="auto"/>
        <w:ind w:left="180" w:firstLine="630" w:firstLineChars="300"/>
        <w:jc w:val="left"/>
        <w:rPr>
          <w:color w:val="auto"/>
        </w:rPr>
      </w:pPr>
      <w:r>
        <w:rPr>
          <w:rFonts w:hint="eastAsia"/>
          <w:color w:val="auto"/>
        </w:rPr>
        <w:t>（1）投标文件内容应严格按照招标文件要求进行编排；</w:t>
      </w:r>
    </w:p>
    <w:p>
      <w:pPr>
        <w:widowControl/>
        <w:spacing w:line="360" w:lineRule="auto"/>
        <w:ind w:firstLine="840" w:firstLineChars="400"/>
        <w:jc w:val="left"/>
        <w:rPr>
          <w:color w:val="auto"/>
        </w:rPr>
      </w:pPr>
      <w:r>
        <w:rPr>
          <w:rFonts w:hint="eastAsia"/>
          <w:color w:val="auto"/>
        </w:rPr>
        <w:t>（2）投标文件应按照招标文件的要求如实响应：</w:t>
      </w:r>
    </w:p>
    <w:p>
      <w:pPr>
        <w:widowControl/>
        <w:spacing w:line="360" w:lineRule="auto"/>
        <w:ind w:left="1470" w:leftChars="400" w:hanging="630" w:hangingChars="300"/>
        <w:jc w:val="left"/>
        <w:rPr>
          <w:color w:val="auto"/>
        </w:rPr>
      </w:pPr>
      <w:r>
        <w:rPr>
          <w:rFonts w:hint="eastAsia"/>
          <w:color w:val="auto"/>
        </w:rPr>
        <w:t>（3）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pPr>
        <w:widowControl/>
        <w:spacing w:line="360" w:lineRule="auto"/>
        <w:ind w:left="180" w:firstLine="630" w:firstLineChars="300"/>
        <w:jc w:val="left"/>
        <w:rPr>
          <w:color w:val="auto"/>
          <w:highlight w:val="yellow"/>
        </w:rPr>
      </w:pPr>
      <w:r>
        <w:rPr>
          <w:rFonts w:hint="eastAsia"/>
          <w:color w:val="auto"/>
        </w:rPr>
        <w:t>（4）投标文件不得随意涂改、加页或减页。</w:t>
      </w:r>
    </w:p>
    <w:p>
      <w:pPr>
        <w:pStyle w:val="10"/>
        <w:tabs>
          <w:tab w:val="clear" w:pos="2278"/>
        </w:tabs>
        <w:spacing w:before="120" w:after="120"/>
        <w:rPr>
          <w:color w:val="auto"/>
        </w:rPr>
      </w:pPr>
      <w:bookmarkStart w:id="19" w:name="_Toc67558700"/>
      <w:r>
        <w:rPr>
          <w:rFonts w:hint="eastAsia"/>
          <w:color w:val="auto"/>
        </w:rPr>
        <w:t>投标报价</w:t>
      </w:r>
      <w:bookmarkEnd w:id="19"/>
    </w:p>
    <w:p>
      <w:pPr>
        <w:pStyle w:val="11"/>
        <w:tabs>
          <w:tab w:val="clear" w:pos="1571"/>
        </w:tabs>
        <w:rPr>
          <w:color w:val="auto"/>
        </w:rPr>
      </w:pPr>
      <w:r>
        <w:rPr>
          <w:rFonts w:hint="eastAsia"/>
          <w:color w:val="auto"/>
        </w:rPr>
        <w:t xml:space="preserve">投标人应按照投标报价表格式要求报价。  </w:t>
      </w:r>
    </w:p>
    <w:p>
      <w:pPr>
        <w:pStyle w:val="11"/>
        <w:tabs>
          <w:tab w:val="clear" w:pos="1571"/>
        </w:tabs>
        <w:rPr>
          <w:color w:val="auto"/>
        </w:rPr>
      </w:pPr>
      <w:r>
        <w:rPr>
          <w:rFonts w:hint="eastAsia"/>
          <w:color w:val="auto"/>
        </w:rPr>
        <w:t>投标人所报的投标价，必须是考虑所有优惠及折扣的最终价格。</w:t>
      </w:r>
    </w:p>
    <w:p>
      <w:pPr>
        <w:pStyle w:val="11"/>
        <w:tabs>
          <w:tab w:val="clear" w:pos="1571"/>
        </w:tabs>
        <w:rPr>
          <w:b/>
          <w:color w:val="auto"/>
        </w:rPr>
      </w:pPr>
      <w:r>
        <w:rPr>
          <w:rFonts w:hint="eastAsia"/>
          <w:b/>
          <w:color w:val="auto"/>
        </w:rPr>
        <w:t>投标报价应包括企业微信本地化部署软件开发、测试、硬件安装采购和运输费用、培训和售后服务费用、各种税金、保险费等全部投标费用。</w:t>
      </w:r>
    </w:p>
    <w:p>
      <w:pPr>
        <w:pStyle w:val="11"/>
        <w:tabs>
          <w:tab w:val="clear" w:pos="1571"/>
        </w:tabs>
        <w:rPr>
          <w:color w:val="auto"/>
        </w:rPr>
      </w:pPr>
      <w:r>
        <w:rPr>
          <w:rFonts w:hint="eastAsia"/>
          <w:color w:val="auto"/>
        </w:rPr>
        <w:t>投标报价应提供每一产品的单价、每一单类产品总价及本次投标总价。</w:t>
      </w:r>
    </w:p>
    <w:p>
      <w:pPr>
        <w:pStyle w:val="11"/>
        <w:tabs>
          <w:tab w:val="clear" w:pos="1571"/>
        </w:tabs>
        <w:rPr>
          <w:color w:val="auto"/>
        </w:rPr>
      </w:pPr>
      <w:r>
        <w:rPr>
          <w:rFonts w:hint="eastAsia"/>
          <w:color w:val="auto"/>
        </w:rPr>
        <w:t>技术规格中特别要求的备品配件、易损件和专用工具的费用。</w:t>
      </w:r>
    </w:p>
    <w:p>
      <w:pPr>
        <w:pStyle w:val="11"/>
        <w:tabs>
          <w:tab w:val="clear" w:pos="1571"/>
        </w:tabs>
        <w:rPr>
          <w:color w:val="auto"/>
        </w:rPr>
      </w:pPr>
      <w:r>
        <w:rPr>
          <w:rFonts w:hint="eastAsia"/>
          <w:color w:val="auto"/>
        </w:rPr>
        <w:t>投标人所提供的投标货物的交货价是全套货物到达交货地的总承包价格。</w:t>
      </w:r>
    </w:p>
    <w:p>
      <w:pPr>
        <w:pStyle w:val="11"/>
        <w:tabs>
          <w:tab w:val="clear" w:pos="1571"/>
        </w:tabs>
        <w:rPr>
          <w:color w:val="auto"/>
        </w:rPr>
      </w:pPr>
      <w:r>
        <w:rPr>
          <w:rFonts w:hint="eastAsia"/>
          <w:color w:val="auto"/>
        </w:rPr>
        <w:t>招标人不接受投标人对任何未办理正常进口手续的非中华人民共和国境内生产的货物的投标报价。</w:t>
      </w:r>
    </w:p>
    <w:p>
      <w:pPr>
        <w:pStyle w:val="11"/>
        <w:tabs>
          <w:tab w:val="clear" w:pos="1571"/>
        </w:tabs>
        <w:rPr>
          <w:color w:val="auto"/>
        </w:rPr>
      </w:pPr>
      <w:r>
        <w:rPr>
          <w:rFonts w:hint="eastAsia"/>
          <w:color w:val="auto"/>
        </w:rPr>
        <w:t>未经考验的新产品、试制品不能参加投标。</w:t>
      </w:r>
    </w:p>
    <w:p>
      <w:pPr>
        <w:pStyle w:val="11"/>
        <w:tabs>
          <w:tab w:val="clear" w:pos="1571"/>
        </w:tabs>
        <w:rPr>
          <w:color w:val="auto"/>
        </w:rPr>
      </w:pPr>
      <w:r>
        <w:rPr>
          <w:rFonts w:hint="eastAsia"/>
          <w:color w:val="auto"/>
        </w:rPr>
        <w:t>投标人应在投标文件中写明免费维护期限，及免费服务期后的年维护费用。</w:t>
      </w:r>
    </w:p>
    <w:p>
      <w:pPr>
        <w:pStyle w:val="11"/>
        <w:tabs>
          <w:tab w:val="clear" w:pos="1571"/>
        </w:tabs>
        <w:rPr>
          <w:b/>
          <w:color w:val="auto"/>
        </w:rPr>
      </w:pPr>
      <w:r>
        <w:rPr>
          <w:rFonts w:hint="eastAsia"/>
          <w:b/>
          <w:color w:val="auto"/>
        </w:rPr>
        <w:t>投标报价作为评标的依据之一，招标人不保证最低报价中标。</w:t>
      </w:r>
    </w:p>
    <w:p>
      <w:pPr>
        <w:pStyle w:val="10"/>
        <w:tabs>
          <w:tab w:val="clear" w:pos="2278"/>
        </w:tabs>
        <w:spacing w:before="120" w:after="120"/>
        <w:rPr>
          <w:color w:val="auto"/>
        </w:rPr>
      </w:pPr>
      <w:bookmarkStart w:id="20" w:name="_Toc67558701"/>
      <w:r>
        <w:rPr>
          <w:rFonts w:hint="eastAsia"/>
          <w:color w:val="auto"/>
        </w:rPr>
        <w:t>报价货币</w:t>
      </w:r>
      <w:bookmarkEnd w:id="20"/>
    </w:p>
    <w:p>
      <w:pPr>
        <w:pStyle w:val="11"/>
        <w:tabs>
          <w:tab w:val="clear" w:pos="1571"/>
        </w:tabs>
        <w:rPr>
          <w:color w:val="auto"/>
        </w:rPr>
      </w:pPr>
      <w:r>
        <w:rPr>
          <w:rFonts w:hint="eastAsia"/>
          <w:color w:val="auto"/>
        </w:rPr>
        <w:t>投标人提供的产品和服务在报价时必须用人民币。</w:t>
      </w:r>
    </w:p>
    <w:p>
      <w:pPr>
        <w:pStyle w:val="10"/>
        <w:tabs>
          <w:tab w:val="clear" w:pos="2278"/>
        </w:tabs>
        <w:spacing w:before="120" w:after="120"/>
        <w:rPr>
          <w:color w:val="auto"/>
        </w:rPr>
      </w:pPr>
      <w:bookmarkStart w:id="21" w:name="_Toc67558702"/>
      <w:r>
        <w:rPr>
          <w:rFonts w:hint="eastAsia"/>
          <w:color w:val="auto"/>
        </w:rPr>
        <w:t>投标人应递交的有关证明文件</w:t>
      </w:r>
      <w:bookmarkEnd w:id="21"/>
    </w:p>
    <w:p>
      <w:pPr>
        <w:pStyle w:val="11"/>
        <w:tabs>
          <w:tab w:val="clear" w:pos="1571"/>
        </w:tabs>
        <w:rPr>
          <w:color w:val="auto"/>
        </w:rPr>
      </w:pPr>
      <w:r>
        <w:rPr>
          <w:rFonts w:hint="eastAsia"/>
          <w:color w:val="auto"/>
        </w:rPr>
        <w:t>投标人应提交证明其有资格和能力履行合同的文件，并作为其投标文件的一部份。</w:t>
      </w:r>
    </w:p>
    <w:p>
      <w:pPr>
        <w:pStyle w:val="11"/>
        <w:tabs>
          <w:tab w:val="clear" w:pos="1571"/>
        </w:tabs>
        <w:rPr>
          <w:color w:val="auto"/>
        </w:rPr>
      </w:pPr>
      <w:r>
        <w:rPr>
          <w:rFonts w:hint="eastAsia"/>
          <w:color w:val="auto"/>
        </w:rPr>
        <w:t>投标人须提交，包括但不限于以下证明文件：</w:t>
      </w:r>
    </w:p>
    <w:p>
      <w:pPr>
        <w:pStyle w:val="11"/>
        <w:numPr>
          <w:ilvl w:val="0"/>
          <w:numId w:val="0"/>
        </w:numPr>
        <w:tabs>
          <w:tab w:val="clear" w:pos="1571"/>
        </w:tabs>
        <w:ind w:left="567"/>
        <w:rPr>
          <w:color w:val="auto"/>
        </w:rPr>
      </w:pPr>
      <w:r>
        <w:rPr>
          <w:rFonts w:hint="eastAsia"/>
          <w:color w:val="auto"/>
        </w:rPr>
        <w:t xml:space="preserve">   （</w:t>
      </w:r>
      <w:r>
        <w:rPr>
          <w:rFonts w:hint="eastAsia" w:ascii="等线" w:hAnsi="等线" w:eastAsia="等线"/>
          <w:color w:val="auto"/>
          <w:kern w:val="2"/>
        </w:rPr>
        <w:t>1</w:t>
      </w:r>
      <w:r>
        <w:rPr>
          <w:rFonts w:hint="eastAsia"/>
          <w:color w:val="auto"/>
        </w:rPr>
        <w:t>）投标人的资格声明；</w:t>
      </w:r>
    </w:p>
    <w:p>
      <w:pPr>
        <w:widowControl/>
        <w:spacing w:line="360" w:lineRule="auto"/>
        <w:ind w:left="-567"/>
        <w:jc w:val="left"/>
        <w:rPr>
          <w:color w:val="auto"/>
        </w:rPr>
      </w:pPr>
      <w:r>
        <w:rPr>
          <w:rFonts w:hint="eastAsia"/>
          <w:color w:val="auto"/>
        </w:rPr>
        <w:t xml:space="preserve">              （2）法定代表人授权委托书；</w:t>
      </w:r>
    </w:p>
    <w:p>
      <w:pPr>
        <w:spacing w:line="360" w:lineRule="auto"/>
        <w:ind w:left="-424" w:leftChars="-202" w:firstLine="577" w:firstLineChars="275"/>
        <w:rPr>
          <w:rFonts w:ascii="宋体" w:hAnsi="宋体"/>
          <w:color w:val="auto"/>
        </w:rPr>
      </w:pPr>
      <w:r>
        <w:rPr>
          <w:rFonts w:hint="eastAsia" w:ascii="宋体" w:hAnsi="宋体"/>
          <w:color w:val="auto"/>
        </w:rPr>
        <w:t xml:space="preserve">       （</w:t>
      </w:r>
      <w:r>
        <w:rPr>
          <w:rFonts w:hint="eastAsia" w:ascii="等线" w:hAnsi="等线" w:eastAsia="等线"/>
          <w:color w:val="auto"/>
        </w:rPr>
        <w:t>3</w:t>
      </w:r>
      <w:r>
        <w:rPr>
          <w:rFonts w:hint="eastAsia" w:ascii="宋体" w:hAnsi="宋体"/>
          <w:color w:val="auto"/>
        </w:rPr>
        <w:t>）授权代理人身份证复印件（正、反面）及公司法定代表人身份证复印件（正、反面）；</w:t>
      </w:r>
    </w:p>
    <w:p>
      <w:pPr>
        <w:widowControl/>
        <w:spacing w:line="360" w:lineRule="auto"/>
        <w:ind w:left="284"/>
        <w:jc w:val="left"/>
        <w:rPr>
          <w:color w:val="auto"/>
        </w:rPr>
      </w:pPr>
      <w:r>
        <w:rPr>
          <w:rFonts w:hint="eastAsia"/>
          <w:color w:val="auto"/>
        </w:rPr>
        <w:t xml:space="preserve">      （4）投标人营业执照（三证合一）</w:t>
      </w:r>
      <w:r>
        <w:rPr>
          <w:rFonts w:hint="eastAsia" w:ascii="宋体" w:hAnsi="宋体"/>
          <w:color w:val="auto"/>
        </w:rPr>
        <w:t>（投标书中附复印件，加盖</w:t>
      </w:r>
      <w:r>
        <w:rPr>
          <w:rFonts w:hint="eastAsia" w:ascii="宋体" w:hAnsi="宋体"/>
          <w:color w:val="auto"/>
        </w:rPr>
        <w:t>报价人</w:t>
      </w:r>
      <w:r>
        <w:rPr>
          <w:rFonts w:hint="eastAsia" w:ascii="宋体" w:hAnsi="宋体"/>
          <w:color w:val="auto"/>
        </w:rPr>
        <w:t>鲜章）</w:t>
      </w:r>
    </w:p>
    <w:p>
      <w:pPr>
        <w:widowControl/>
        <w:spacing w:line="360" w:lineRule="auto"/>
        <w:ind w:left="142"/>
        <w:jc w:val="left"/>
        <w:rPr>
          <w:color w:val="auto"/>
        </w:rPr>
      </w:pPr>
      <w:r>
        <w:rPr>
          <w:rFonts w:hint="eastAsia" w:ascii="宋体" w:hAnsi="宋体"/>
          <w:color w:val="auto"/>
        </w:rPr>
        <w:t xml:space="preserve">       （</w:t>
      </w:r>
      <w:r>
        <w:rPr>
          <w:rFonts w:hint="eastAsia" w:ascii="等线" w:hAnsi="等线" w:eastAsia="等线"/>
          <w:color w:val="auto"/>
        </w:rPr>
        <w:t>5</w:t>
      </w:r>
      <w:r>
        <w:rPr>
          <w:rFonts w:hint="eastAsia" w:ascii="宋体" w:hAnsi="宋体"/>
          <w:color w:val="auto"/>
        </w:rPr>
        <w:t>）符合国标的</w:t>
      </w:r>
      <w:r>
        <w:rPr>
          <w:rFonts w:hint="eastAsia" w:ascii="宋体"/>
          <w:color w:val="auto"/>
          <w:spacing w:val="-2"/>
          <w:kern w:val="0"/>
        </w:rPr>
        <w:t>质量检测报告（投标书中附复印件，加盖报价人鲜章</w:t>
      </w:r>
      <w:r>
        <w:rPr>
          <w:rFonts w:hint="eastAsia" w:ascii="宋体" w:hAnsi="宋体"/>
          <w:color w:val="auto"/>
        </w:rPr>
        <w:t>）；</w:t>
      </w:r>
    </w:p>
    <w:p>
      <w:pPr>
        <w:widowControl/>
        <w:spacing w:line="360" w:lineRule="auto"/>
        <w:ind w:left="426" w:firstLine="420"/>
        <w:jc w:val="left"/>
        <w:rPr>
          <w:color w:val="auto"/>
        </w:rPr>
      </w:pPr>
      <w:r>
        <w:rPr>
          <w:rFonts w:hint="eastAsia"/>
          <w:color w:val="auto"/>
        </w:rPr>
        <w:t>（6）具备完整的技术服务支持体系证明材料；</w:t>
      </w:r>
    </w:p>
    <w:p>
      <w:pPr>
        <w:widowControl/>
        <w:spacing w:line="360" w:lineRule="auto"/>
        <w:ind w:left="426" w:firstLine="420"/>
        <w:jc w:val="left"/>
        <w:rPr>
          <w:color w:val="auto"/>
        </w:rPr>
      </w:pPr>
      <w:r>
        <w:rPr>
          <w:rFonts w:hint="eastAsia"/>
          <w:color w:val="auto"/>
        </w:rPr>
        <w:t>（7）ISO9001:2000族质量管理标准资质证书（投标书中附复印件，加盖报价人鲜章</w:t>
      </w:r>
      <w:r>
        <w:rPr>
          <w:rFonts w:hint="eastAsia" w:ascii="宋体" w:hAnsi="宋体"/>
          <w:color w:val="auto"/>
        </w:rPr>
        <w:t>）</w:t>
      </w:r>
    </w:p>
    <w:p>
      <w:pPr>
        <w:widowControl/>
        <w:spacing w:line="360" w:lineRule="auto"/>
        <w:ind w:left="426"/>
        <w:jc w:val="left"/>
        <w:rPr>
          <w:color w:val="auto"/>
        </w:rPr>
      </w:pPr>
      <w:r>
        <w:rPr>
          <w:rFonts w:hint="eastAsia"/>
          <w:color w:val="auto"/>
        </w:rPr>
        <w:t xml:space="preserve">    （8）类似项目金融行业案例证明材料（复印件，加盖报价人鲜章）；</w:t>
      </w:r>
    </w:p>
    <w:p>
      <w:pPr>
        <w:widowControl/>
        <w:spacing w:line="360" w:lineRule="auto"/>
        <w:ind w:firstLine="840" w:firstLineChars="400"/>
        <w:jc w:val="left"/>
        <w:rPr>
          <w:color w:val="auto"/>
        </w:rPr>
      </w:pPr>
      <w:r>
        <w:rPr>
          <w:rFonts w:hint="eastAsia"/>
          <w:color w:val="auto"/>
        </w:rPr>
        <w:t>（9）服务商信息表（格式见第三部分：投标文件格式）；</w:t>
      </w:r>
    </w:p>
    <w:p>
      <w:pPr>
        <w:widowControl/>
        <w:spacing w:line="360" w:lineRule="auto"/>
        <w:ind w:firstLine="840" w:firstLineChars="400"/>
        <w:jc w:val="left"/>
        <w:rPr>
          <w:color w:val="auto"/>
        </w:rPr>
      </w:pPr>
      <w:r>
        <w:rPr>
          <w:rFonts w:hint="eastAsia"/>
          <w:color w:val="auto"/>
        </w:rPr>
        <w:t>（10）公司认为需要提供的其他文件及资料。</w:t>
      </w:r>
    </w:p>
    <w:p>
      <w:pPr>
        <w:widowControl/>
        <w:spacing w:line="360" w:lineRule="auto"/>
        <w:ind w:left="425"/>
        <w:jc w:val="left"/>
        <w:rPr>
          <w:b/>
          <w:color w:val="auto"/>
        </w:rPr>
      </w:pPr>
      <w:r>
        <w:rPr>
          <w:rFonts w:hint="eastAsia"/>
          <w:b/>
          <w:color w:val="auto"/>
        </w:rPr>
        <w:t xml:space="preserve">    （12）如果投标人按照招标文件要求提供的产品不是投标人自己研发的，投标人应得到产品</w:t>
      </w:r>
    </w:p>
    <w:p>
      <w:pPr>
        <w:widowControl/>
        <w:spacing w:line="360" w:lineRule="auto"/>
        <w:ind w:left="425"/>
        <w:jc w:val="left"/>
        <w:rPr>
          <w:b/>
          <w:color w:val="auto"/>
        </w:rPr>
      </w:pPr>
      <w:r>
        <w:rPr>
          <w:rFonts w:hint="eastAsia"/>
          <w:b/>
          <w:color w:val="auto"/>
        </w:rPr>
        <w:t xml:space="preserve">         商颁授的有效代理证书或为本次投标提供产品的有效授权（原件）。 </w:t>
      </w:r>
    </w:p>
    <w:p>
      <w:pPr>
        <w:pStyle w:val="11"/>
        <w:tabs>
          <w:tab w:val="clear" w:pos="1571"/>
        </w:tabs>
        <w:rPr>
          <w:color w:val="auto"/>
        </w:rPr>
      </w:pPr>
      <w:r>
        <w:rPr>
          <w:rFonts w:hint="eastAsia"/>
          <w:color w:val="auto"/>
        </w:rPr>
        <w:t>按国家法律法规及相关办法规定的从事此类项目的所需具备的一切资质，投标人都应具有，否则将视为无效投标。</w:t>
      </w:r>
    </w:p>
    <w:p>
      <w:pPr>
        <w:pStyle w:val="9"/>
        <w:tabs>
          <w:tab w:val="clear" w:pos="432"/>
        </w:tabs>
        <w:rPr>
          <w:color w:val="auto"/>
        </w:rPr>
      </w:pPr>
      <w:bookmarkStart w:id="22" w:name="_Toc67558703"/>
      <w:r>
        <w:rPr>
          <w:rFonts w:hint="eastAsia"/>
          <w:color w:val="auto"/>
        </w:rPr>
        <w:t>投标文件的递交</w:t>
      </w:r>
      <w:bookmarkEnd w:id="22"/>
    </w:p>
    <w:p>
      <w:pPr>
        <w:pStyle w:val="10"/>
        <w:tabs>
          <w:tab w:val="clear" w:pos="2278"/>
        </w:tabs>
        <w:spacing w:before="120" w:after="120"/>
        <w:rPr>
          <w:color w:val="auto"/>
        </w:rPr>
      </w:pPr>
      <w:bookmarkStart w:id="23" w:name="_Toc67558704"/>
      <w:r>
        <w:rPr>
          <w:rFonts w:hint="eastAsia"/>
          <w:color w:val="auto"/>
        </w:rPr>
        <w:t>投标文件的密封和标记</w:t>
      </w:r>
      <w:bookmarkEnd w:id="23"/>
    </w:p>
    <w:p>
      <w:pPr>
        <w:pStyle w:val="11"/>
        <w:tabs>
          <w:tab w:val="clear" w:pos="1571"/>
        </w:tabs>
        <w:rPr>
          <w:color w:val="auto"/>
        </w:rPr>
      </w:pPr>
      <w:r>
        <w:rPr>
          <w:rFonts w:hint="eastAsia"/>
          <w:color w:val="auto"/>
        </w:rPr>
        <w:t>投标人应将投标文件正本和所有的副本分开密封装在单独的封套中，且在封套上标明“正本”、“副本”字样。</w:t>
      </w:r>
    </w:p>
    <w:p>
      <w:pPr>
        <w:pStyle w:val="11"/>
        <w:tabs>
          <w:tab w:val="clear" w:pos="1571"/>
        </w:tabs>
        <w:rPr>
          <w:color w:val="auto"/>
        </w:rPr>
      </w:pPr>
      <w:r>
        <w:rPr>
          <w:rFonts w:hint="eastAsia"/>
          <w:color w:val="auto"/>
        </w:rPr>
        <w:t>封套均应按以下要求标记：</w:t>
      </w:r>
    </w:p>
    <w:p>
      <w:pPr>
        <w:spacing w:line="360" w:lineRule="auto"/>
        <w:ind w:firstLine="735" w:firstLineChars="350"/>
        <w:rPr>
          <w:color w:val="auto"/>
        </w:rPr>
      </w:pPr>
      <w:r>
        <w:rPr>
          <w:rFonts w:hint="eastAsia"/>
          <w:color w:val="auto"/>
        </w:rPr>
        <w:t>递    交：四川天府银行</w:t>
      </w:r>
    </w:p>
    <w:p>
      <w:pPr>
        <w:spacing w:line="360" w:lineRule="auto"/>
        <w:ind w:firstLine="735" w:firstLineChars="350"/>
        <w:rPr>
          <w:rFonts w:ascii="等线" w:hAnsi="等线" w:eastAsia="等线"/>
          <w:b/>
          <w:i/>
          <w:color w:val="auto"/>
          <w:u w:val="single"/>
        </w:rPr>
      </w:pPr>
      <w:r>
        <w:rPr>
          <w:rFonts w:hint="eastAsia"/>
          <w:color w:val="auto"/>
        </w:rPr>
        <w:t>投标项目：</w:t>
      </w:r>
      <w:r>
        <w:rPr>
          <w:rFonts w:hint="eastAsia"/>
          <w:b/>
          <w:i/>
          <w:color w:val="auto"/>
          <w:u w:val="single"/>
        </w:rPr>
        <w:t>四川天府银行</w:t>
      </w:r>
      <w:r>
        <w:rPr>
          <w:rFonts w:hint="eastAsia" w:hAnsi="宋体" w:cs="宋体"/>
          <w:b/>
          <w:i/>
          <w:color w:val="auto"/>
          <w:szCs w:val="21"/>
          <w:u w:val="single"/>
        </w:rPr>
        <w:t>企业微信本地化部署项目</w:t>
      </w:r>
      <w:r>
        <w:rPr>
          <w:rFonts w:hint="eastAsia"/>
          <w:b/>
          <w:i/>
          <w:color w:val="auto"/>
          <w:u w:val="single"/>
        </w:rPr>
        <w:t>采购招标。</w:t>
      </w:r>
    </w:p>
    <w:p>
      <w:pPr>
        <w:spacing w:line="360" w:lineRule="auto"/>
        <w:ind w:firstLine="735" w:firstLineChars="350"/>
        <w:rPr>
          <w:color w:val="auto"/>
        </w:rPr>
      </w:pPr>
      <w:r>
        <w:rPr>
          <w:rFonts w:hint="eastAsia"/>
          <w:color w:val="auto"/>
        </w:rPr>
        <w:t xml:space="preserve">封套上均应写明投标人全称、地址、联系人和联系电话。 </w:t>
      </w:r>
    </w:p>
    <w:p>
      <w:pPr>
        <w:pStyle w:val="11"/>
        <w:tabs>
          <w:tab w:val="clear" w:pos="1571"/>
        </w:tabs>
        <w:rPr>
          <w:color w:val="auto"/>
        </w:rPr>
      </w:pPr>
      <w:r>
        <w:rPr>
          <w:rFonts w:hint="eastAsia"/>
          <w:color w:val="auto"/>
        </w:rPr>
        <w:t>将下列内容（从投标文件正本中复印）单独密封入信封，再将其封装于投标文件正本封套内：</w:t>
      </w:r>
    </w:p>
    <w:p>
      <w:pPr>
        <w:widowControl/>
        <w:numPr>
          <w:ilvl w:val="0"/>
          <w:numId w:val="2"/>
        </w:numPr>
        <w:spacing w:line="360" w:lineRule="auto"/>
        <w:rPr>
          <w:color w:val="auto"/>
        </w:rPr>
      </w:pPr>
      <w:r>
        <w:rPr>
          <w:rFonts w:hint="eastAsia"/>
          <w:color w:val="auto"/>
        </w:rPr>
        <w:t>投标函；</w:t>
      </w:r>
    </w:p>
    <w:p>
      <w:pPr>
        <w:widowControl/>
        <w:numPr>
          <w:ilvl w:val="0"/>
          <w:numId w:val="2"/>
        </w:numPr>
        <w:spacing w:line="360" w:lineRule="auto"/>
        <w:rPr>
          <w:color w:val="auto"/>
        </w:rPr>
      </w:pPr>
      <w:r>
        <w:rPr>
          <w:rFonts w:hint="eastAsia"/>
          <w:color w:val="auto"/>
        </w:rPr>
        <w:t>投标报价表。</w:t>
      </w:r>
    </w:p>
    <w:p>
      <w:pPr>
        <w:pStyle w:val="10"/>
        <w:tabs>
          <w:tab w:val="clear" w:pos="2278"/>
        </w:tabs>
        <w:spacing w:before="120" w:after="120"/>
        <w:rPr>
          <w:color w:val="auto"/>
        </w:rPr>
      </w:pPr>
      <w:bookmarkStart w:id="24" w:name="_Toc67558705"/>
      <w:r>
        <w:rPr>
          <w:rFonts w:hint="eastAsia"/>
          <w:color w:val="auto"/>
        </w:rPr>
        <w:t>重要须知</w:t>
      </w:r>
      <w:bookmarkEnd w:id="24"/>
    </w:p>
    <w:p>
      <w:pPr>
        <w:pStyle w:val="11"/>
        <w:tabs>
          <w:tab w:val="clear" w:pos="1571"/>
        </w:tabs>
        <w:rPr>
          <w:b/>
          <w:color w:val="auto"/>
        </w:rPr>
      </w:pPr>
      <w:r>
        <w:rPr>
          <w:rFonts w:hint="eastAsia"/>
          <w:color w:val="auto"/>
        </w:rPr>
        <w:t>招标人将拒绝并原封退回在本招标文件规定的投标截止时间后收到的任何投标文件。</w:t>
      </w:r>
    </w:p>
    <w:p>
      <w:pPr>
        <w:pStyle w:val="11"/>
        <w:tabs>
          <w:tab w:val="clear" w:pos="1571"/>
        </w:tabs>
        <w:rPr>
          <w:color w:val="auto"/>
        </w:rPr>
      </w:pPr>
      <w:r>
        <w:rPr>
          <w:rFonts w:hint="eastAsia"/>
          <w:color w:val="auto"/>
        </w:rPr>
        <w:t>开标后，投标人的投标文件相关文件不符合招标文件相关要求的，将被退回。</w:t>
      </w:r>
    </w:p>
    <w:p>
      <w:pPr>
        <w:pStyle w:val="11"/>
        <w:tabs>
          <w:tab w:val="clear" w:pos="1571"/>
        </w:tabs>
        <w:rPr>
          <w:color w:val="auto"/>
        </w:rPr>
      </w:pPr>
      <w:r>
        <w:rPr>
          <w:rFonts w:hint="eastAsia"/>
          <w:color w:val="auto"/>
        </w:rPr>
        <w:t>开标后，每个投标人将有</w:t>
      </w:r>
      <w:r>
        <w:rPr>
          <w:rFonts w:hint="eastAsia"/>
          <w:b/>
          <w:i/>
          <w:color w:val="auto"/>
          <w:u w:val="single"/>
        </w:rPr>
        <w:t>15分钟的讲标时间</w:t>
      </w:r>
      <w:r>
        <w:rPr>
          <w:rFonts w:hint="eastAsia"/>
          <w:color w:val="auto"/>
        </w:rPr>
        <w:t>，讲标内容为</w:t>
      </w:r>
      <w:r>
        <w:rPr>
          <w:rFonts w:hint="eastAsia"/>
          <w:b/>
          <w:i/>
          <w:color w:val="auto"/>
          <w:u w:val="single"/>
        </w:rPr>
        <w:t>公司情况及产品介绍</w:t>
      </w:r>
      <w:r>
        <w:rPr>
          <w:rFonts w:hint="eastAsia"/>
          <w:color w:val="auto"/>
        </w:rPr>
        <w:t>，不得超出投标文件的内容范围。</w:t>
      </w:r>
    </w:p>
    <w:p>
      <w:pPr>
        <w:pStyle w:val="11"/>
        <w:tabs>
          <w:tab w:val="clear" w:pos="1571"/>
        </w:tabs>
        <w:rPr>
          <w:color w:val="auto"/>
        </w:rPr>
      </w:pPr>
      <w:r>
        <w:rPr>
          <w:rFonts w:hint="eastAsia"/>
          <w:color w:val="auto"/>
        </w:rPr>
        <w:t>讲标结束后，评标过程将在全封闭地点进行；在此期间，投标人非经评审委员会要求对投标文件含义不明确的内容进行必要的澄清或说明，不得单独联系评审委员会的任何人员。</w:t>
      </w:r>
    </w:p>
    <w:p>
      <w:pPr>
        <w:pStyle w:val="9"/>
        <w:tabs>
          <w:tab w:val="clear" w:pos="432"/>
        </w:tabs>
        <w:rPr>
          <w:color w:val="auto"/>
        </w:rPr>
      </w:pPr>
      <w:bookmarkStart w:id="25" w:name="_Toc67558706"/>
      <w:r>
        <w:rPr>
          <w:rFonts w:hint="eastAsia"/>
          <w:color w:val="auto"/>
        </w:rPr>
        <w:t>知识产权</w:t>
      </w:r>
      <w:bookmarkEnd w:id="25"/>
    </w:p>
    <w:p>
      <w:pPr>
        <w:pStyle w:val="11"/>
        <w:tabs>
          <w:tab w:val="clear" w:pos="1571"/>
        </w:tabs>
        <w:rPr>
          <w:color w:val="auto"/>
        </w:rPr>
      </w:pPr>
      <w:r>
        <w:rPr>
          <w:rFonts w:hint="eastAsia" w:hAnsi="宋体"/>
          <w:color w:val="auto"/>
        </w:rPr>
        <w:t>投标人</w:t>
      </w:r>
      <w:r>
        <w:rPr>
          <w:rFonts w:hint="eastAsia"/>
          <w:color w:val="auto"/>
        </w:rPr>
        <w:t>应保证</w:t>
      </w:r>
      <w:r>
        <w:rPr>
          <w:rFonts w:hint="eastAsia"/>
          <w:color w:val="auto"/>
          <w:spacing w:val="-2"/>
        </w:rPr>
        <w:t>，投标人</w:t>
      </w:r>
      <w:r>
        <w:rPr>
          <w:rFonts w:hint="eastAsia"/>
          <w:color w:val="auto"/>
        </w:rPr>
        <w:t>是本项目</w:t>
      </w:r>
      <w:r>
        <w:rPr>
          <w:color w:val="auto"/>
        </w:rPr>
        <w:t>提供的任何产品（含软件）、技术和服务的知识产权的合法所有人，或已经从其</w:t>
      </w:r>
      <w:r>
        <w:rPr>
          <w:rFonts w:hint="eastAsia"/>
          <w:color w:val="auto"/>
        </w:rPr>
        <w:t>合法</w:t>
      </w:r>
      <w:r>
        <w:rPr>
          <w:color w:val="auto"/>
        </w:rPr>
        <w:t>所有人得到了</w:t>
      </w:r>
      <w:r>
        <w:rPr>
          <w:rFonts w:hint="eastAsia"/>
          <w:color w:val="auto"/>
        </w:rPr>
        <w:t>合法、</w:t>
      </w:r>
      <w:r>
        <w:rPr>
          <w:color w:val="auto"/>
        </w:rPr>
        <w:t>适当的授权，并保证其产品</w:t>
      </w:r>
      <w:r>
        <w:rPr>
          <w:rFonts w:hint="eastAsia"/>
          <w:color w:val="auto"/>
        </w:rPr>
        <w:t>、技术</w:t>
      </w:r>
      <w:r>
        <w:rPr>
          <w:color w:val="auto"/>
        </w:rPr>
        <w:t>和服务均不侵犯任何第三人的版权、专利</w:t>
      </w:r>
      <w:r>
        <w:rPr>
          <w:rFonts w:hint="eastAsia"/>
          <w:color w:val="auto"/>
        </w:rPr>
        <w:t>权</w:t>
      </w:r>
      <w:r>
        <w:rPr>
          <w:color w:val="auto"/>
        </w:rPr>
        <w:t>、商标</w:t>
      </w:r>
      <w:r>
        <w:rPr>
          <w:rFonts w:hint="eastAsia"/>
          <w:color w:val="auto"/>
        </w:rPr>
        <w:t>权</w:t>
      </w:r>
      <w:r>
        <w:rPr>
          <w:color w:val="auto"/>
        </w:rPr>
        <w:t>或其他形式的知识产权，亦不侵犯任何第三人的商业秘密或其他权利。</w:t>
      </w:r>
      <w:r>
        <w:rPr>
          <w:rFonts w:hint="eastAsia"/>
          <w:color w:val="auto"/>
        </w:rPr>
        <w:t>招标人有权因为</w:t>
      </w:r>
      <w:r>
        <w:rPr>
          <w:rFonts w:hint="eastAsia" w:hAnsi="宋体"/>
          <w:color w:val="auto"/>
        </w:rPr>
        <w:t>投标人</w:t>
      </w:r>
      <w:r>
        <w:rPr>
          <w:color w:val="auto"/>
        </w:rPr>
        <w:t>提供虚假、错误</w:t>
      </w:r>
      <w:r>
        <w:rPr>
          <w:rFonts w:hint="eastAsia"/>
          <w:color w:val="auto"/>
        </w:rPr>
        <w:t>或</w:t>
      </w:r>
      <w:r>
        <w:rPr>
          <w:color w:val="auto"/>
        </w:rPr>
        <w:t>误导性信息</w:t>
      </w:r>
      <w:r>
        <w:rPr>
          <w:rFonts w:hint="eastAsia"/>
          <w:color w:val="auto"/>
        </w:rPr>
        <w:t>而</w:t>
      </w:r>
      <w:r>
        <w:rPr>
          <w:color w:val="auto"/>
        </w:rPr>
        <w:t>拒绝其参</w:t>
      </w:r>
      <w:r>
        <w:rPr>
          <w:rFonts w:hint="eastAsia"/>
          <w:color w:val="auto"/>
        </w:rPr>
        <w:t>加投标，并保留</w:t>
      </w:r>
      <w:r>
        <w:rPr>
          <w:color w:val="auto"/>
        </w:rPr>
        <w:t>依照所适用法律可能享有的进一步追诉的所有权利。</w:t>
      </w:r>
    </w:p>
    <w:p>
      <w:pPr>
        <w:pStyle w:val="11"/>
        <w:tabs>
          <w:tab w:val="clear" w:pos="1571"/>
        </w:tabs>
        <w:rPr>
          <w:color w:val="auto"/>
          <w:spacing w:val="-2"/>
        </w:rPr>
      </w:pPr>
      <w:r>
        <w:rPr>
          <w:rFonts w:hint="eastAsia"/>
          <w:color w:val="auto"/>
          <w:spacing w:val="-2"/>
        </w:rPr>
        <w:t>投标人应保证，招标人在中华人民共和国使用产品或产品的任何一部分时，</w:t>
      </w:r>
      <w:r>
        <w:rPr>
          <w:rFonts w:hint="eastAsia"/>
          <w:color w:val="auto"/>
        </w:rPr>
        <w:t>如</w:t>
      </w:r>
      <w:r>
        <w:rPr>
          <w:color w:val="auto"/>
        </w:rPr>
        <w:t>因使用</w:t>
      </w:r>
      <w:r>
        <w:rPr>
          <w:rFonts w:hint="eastAsia" w:hAnsi="宋体"/>
          <w:color w:val="auto"/>
        </w:rPr>
        <w:t>投标人</w:t>
      </w:r>
      <w:r>
        <w:rPr>
          <w:rFonts w:hint="eastAsia"/>
          <w:color w:val="auto"/>
        </w:rPr>
        <w:t>提供的产品或服务而</w:t>
      </w:r>
      <w:r>
        <w:rPr>
          <w:color w:val="auto"/>
        </w:rPr>
        <w:t>受到第三方关于侵犯</w:t>
      </w:r>
      <w:r>
        <w:rPr>
          <w:rFonts w:hint="eastAsia"/>
          <w:color w:val="auto"/>
        </w:rPr>
        <w:t>版权、</w:t>
      </w:r>
      <w:r>
        <w:rPr>
          <w:color w:val="auto"/>
        </w:rPr>
        <w:t>专利权、商标权</w:t>
      </w:r>
      <w:r>
        <w:rPr>
          <w:rFonts w:hint="eastAsia"/>
          <w:color w:val="auto"/>
        </w:rPr>
        <w:t>或其他形式的知识产权</w:t>
      </w:r>
      <w:r>
        <w:rPr>
          <w:color w:val="auto"/>
        </w:rPr>
        <w:t>的</w:t>
      </w:r>
      <w:r>
        <w:rPr>
          <w:rFonts w:hint="eastAsia"/>
          <w:color w:val="auto"/>
        </w:rPr>
        <w:t>指控</w:t>
      </w:r>
      <w:r>
        <w:rPr>
          <w:color w:val="auto"/>
        </w:rPr>
        <w:t>或其它指控，投标人须与该第三方交涉</w:t>
      </w:r>
      <w:r>
        <w:rPr>
          <w:rFonts w:hint="eastAsia"/>
          <w:color w:val="auto"/>
        </w:rPr>
        <w:t>，采取措施使</w:t>
      </w:r>
      <w:r>
        <w:rPr>
          <w:rFonts w:hint="eastAsia" w:ascii="Arial" w:hAnsi="Arial"/>
          <w:color w:val="auto"/>
        </w:rPr>
        <w:t>招标人</w:t>
      </w:r>
      <w:r>
        <w:rPr>
          <w:rFonts w:ascii="Arial" w:hAnsi="Arial"/>
          <w:color w:val="auto"/>
        </w:rPr>
        <w:t>免受第三方提出侵犯其专利权或其它知识产权的起诉</w:t>
      </w:r>
      <w:r>
        <w:rPr>
          <w:rFonts w:hint="eastAsia" w:ascii="Arial" w:hAnsi="Arial"/>
          <w:color w:val="auto"/>
        </w:rPr>
        <w:t>，</w:t>
      </w:r>
      <w:r>
        <w:rPr>
          <w:color w:val="auto"/>
        </w:rPr>
        <w:t>并</w:t>
      </w:r>
      <w:r>
        <w:rPr>
          <w:rFonts w:hint="eastAsia"/>
          <w:color w:val="auto"/>
        </w:rPr>
        <w:t>对招标人</w:t>
      </w:r>
      <w:r>
        <w:rPr>
          <w:color w:val="auto"/>
        </w:rPr>
        <w:t>承担</w:t>
      </w:r>
      <w:r>
        <w:rPr>
          <w:rFonts w:hint="eastAsia"/>
          <w:color w:val="auto"/>
        </w:rPr>
        <w:t>相应的赔偿责任</w:t>
      </w:r>
      <w:r>
        <w:rPr>
          <w:rFonts w:hint="eastAsia"/>
          <w:color w:val="auto"/>
          <w:spacing w:val="-2"/>
        </w:rPr>
        <w:t>。</w:t>
      </w:r>
    </w:p>
    <w:p>
      <w:pPr>
        <w:pStyle w:val="9"/>
        <w:tabs>
          <w:tab w:val="clear" w:pos="432"/>
        </w:tabs>
        <w:rPr>
          <w:color w:val="auto"/>
        </w:rPr>
      </w:pPr>
      <w:bookmarkStart w:id="26" w:name="_Toc67558707"/>
      <w:r>
        <w:rPr>
          <w:rFonts w:hint="eastAsia"/>
          <w:color w:val="auto"/>
        </w:rPr>
        <w:t>投标文件评审</w:t>
      </w:r>
      <w:bookmarkEnd w:id="26"/>
    </w:p>
    <w:p>
      <w:pPr>
        <w:pStyle w:val="10"/>
        <w:tabs>
          <w:tab w:val="clear" w:pos="2278"/>
        </w:tabs>
        <w:spacing w:before="120" w:after="120"/>
        <w:rPr>
          <w:color w:val="auto"/>
        </w:rPr>
      </w:pPr>
      <w:bookmarkStart w:id="27" w:name="_Toc67558708"/>
      <w:r>
        <w:rPr>
          <w:rFonts w:hint="eastAsia"/>
          <w:color w:val="auto"/>
        </w:rPr>
        <w:t>评标</w:t>
      </w:r>
      <w:bookmarkEnd w:id="27"/>
    </w:p>
    <w:p>
      <w:pPr>
        <w:pStyle w:val="11"/>
        <w:tabs>
          <w:tab w:val="clear" w:pos="1571"/>
        </w:tabs>
        <w:rPr>
          <w:color w:val="auto"/>
        </w:rPr>
      </w:pPr>
      <w:r>
        <w:rPr>
          <w:rFonts w:hint="eastAsia"/>
          <w:color w:val="auto"/>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pPr>
        <w:pStyle w:val="11"/>
        <w:tabs>
          <w:tab w:val="clear" w:pos="1571"/>
        </w:tabs>
        <w:rPr>
          <w:color w:val="auto"/>
        </w:rPr>
      </w:pPr>
      <w:r>
        <w:rPr>
          <w:rFonts w:hint="eastAsia"/>
          <w:color w:val="auto"/>
        </w:rPr>
        <w:t>评标原则：评标委员会按照有关法律、法规规定和招标文件要求，遵循公平、公正、科学、择优的原则，采用相同的程序和标准，不受外界任何因素干扰和影响独立对投标文件进行评审。</w:t>
      </w:r>
    </w:p>
    <w:p>
      <w:pPr>
        <w:pStyle w:val="11"/>
        <w:tabs>
          <w:tab w:val="clear" w:pos="1571"/>
        </w:tabs>
        <w:rPr>
          <w:color w:val="auto"/>
        </w:rPr>
      </w:pPr>
      <w:r>
        <w:rPr>
          <w:rFonts w:hint="eastAsia"/>
          <w:color w:val="auto"/>
        </w:rPr>
        <w:t>评标主要内容：对投标文件的初审、质疑、综合评审、择优定标。</w:t>
      </w:r>
    </w:p>
    <w:p>
      <w:pPr>
        <w:pStyle w:val="11"/>
        <w:tabs>
          <w:tab w:val="clear" w:pos="1571"/>
        </w:tabs>
        <w:rPr>
          <w:color w:val="auto"/>
        </w:rPr>
      </w:pPr>
      <w:r>
        <w:rPr>
          <w:rFonts w:hint="eastAsia"/>
          <w:color w:val="auto"/>
        </w:rPr>
        <w:t>评标方法：采用综合评分法，即在最大限度满足招标文件实质性要求的前提下，按照评审标准进行综合评审后，择优选取入围供应商。</w:t>
      </w:r>
    </w:p>
    <w:p>
      <w:pPr>
        <w:pStyle w:val="10"/>
        <w:tabs>
          <w:tab w:val="clear" w:pos="2278"/>
        </w:tabs>
        <w:spacing w:before="120" w:after="120"/>
        <w:rPr>
          <w:color w:val="auto"/>
        </w:rPr>
      </w:pPr>
      <w:bookmarkStart w:id="28" w:name="_Toc67558709"/>
      <w:r>
        <w:rPr>
          <w:rFonts w:hint="eastAsia"/>
          <w:color w:val="auto"/>
        </w:rPr>
        <w:t>其他事项</w:t>
      </w:r>
      <w:bookmarkEnd w:id="28"/>
    </w:p>
    <w:p>
      <w:pPr>
        <w:pStyle w:val="11"/>
        <w:tabs>
          <w:tab w:val="clear" w:pos="1571"/>
        </w:tabs>
        <w:rPr>
          <w:color w:val="auto"/>
        </w:rPr>
      </w:pPr>
      <w:r>
        <w:rPr>
          <w:rFonts w:hint="eastAsia"/>
          <w:color w:val="auto"/>
        </w:rPr>
        <w:t>招标人在授予合同之前仍有选择或拒绝任何或全部投标的权力，对因此而受影响的投标人不承担任何责任，也没有义务向受影响的投标人解释采取这一行动的理由。</w:t>
      </w:r>
    </w:p>
    <w:p>
      <w:pPr>
        <w:pStyle w:val="11"/>
        <w:tabs>
          <w:tab w:val="clear" w:pos="1571"/>
        </w:tabs>
        <w:rPr>
          <w:color w:val="auto"/>
        </w:rPr>
      </w:pPr>
      <w:r>
        <w:rPr>
          <w:rFonts w:hint="eastAsia"/>
          <w:color w:val="auto"/>
        </w:rPr>
        <w:t>若投标人数达不到法定要求或评标委员会否决所有投标，招标人有权选择其他采购方式。</w:t>
      </w:r>
    </w:p>
    <w:p>
      <w:pPr>
        <w:pStyle w:val="11"/>
        <w:tabs>
          <w:tab w:val="clear" w:pos="1571"/>
        </w:tabs>
        <w:rPr>
          <w:color w:val="auto"/>
        </w:rPr>
      </w:pPr>
      <w:r>
        <w:rPr>
          <w:rFonts w:hint="eastAsia"/>
          <w:color w:val="auto"/>
        </w:rPr>
        <w:t>评标委员会不向落标方解释落标原因，不退还投标文件。</w:t>
      </w:r>
    </w:p>
    <w:p>
      <w:pPr>
        <w:pStyle w:val="11"/>
        <w:tabs>
          <w:tab w:val="clear" w:pos="1571"/>
        </w:tabs>
        <w:rPr>
          <w:color w:val="auto"/>
        </w:rPr>
      </w:pPr>
      <w:r>
        <w:rPr>
          <w:rFonts w:hint="eastAsia"/>
          <w:color w:val="auto"/>
        </w:rPr>
        <w:t>在投标、评标过程中，如有投标人联合故意抬高报价或其他不正当行为，招标方有权中止投标或评标。</w:t>
      </w:r>
    </w:p>
    <w:p>
      <w:pPr>
        <w:pStyle w:val="11"/>
        <w:tabs>
          <w:tab w:val="clear" w:pos="1571"/>
        </w:tabs>
        <w:rPr>
          <w:color w:val="auto"/>
        </w:rPr>
      </w:pPr>
      <w:r>
        <w:rPr>
          <w:rFonts w:hint="eastAsia"/>
          <w:color w:val="auto"/>
        </w:rPr>
        <w:t>中标供应商确定后，招标人向其发出</w:t>
      </w:r>
      <w:r>
        <w:rPr>
          <w:rFonts w:hint="eastAsia"/>
          <w:b/>
          <w:i/>
          <w:color w:val="auto"/>
          <w:highlight w:val="yellow"/>
          <w:u w:val="single"/>
        </w:rPr>
        <w:t>中标通知书</w:t>
      </w:r>
      <w:r>
        <w:rPr>
          <w:rFonts w:hint="eastAsia"/>
          <w:color w:val="auto"/>
          <w:highlight w:val="yellow"/>
        </w:rPr>
        <w:t>。</w:t>
      </w:r>
    </w:p>
    <w:p>
      <w:pPr>
        <w:pStyle w:val="11"/>
        <w:tabs>
          <w:tab w:val="clear" w:pos="1571"/>
        </w:tabs>
        <w:rPr>
          <w:color w:val="auto"/>
        </w:rPr>
      </w:pPr>
      <w:r>
        <w:rPr>
          <w:rFonts w:hint="eastAsia"/>
          <w:color w:val="auto"/>
        </w:rPr>
        <w:t>中标供应商应在收到</w:t>
      </w:r>
      <w:r>
        <w:rPr>
          <w:rFonts w:hint="eastAsia"/>
          <w:b/>
          <w:i/>
          <w:color w:val="auto"/>
          <w:highlight w:val="yellow"/>
          <w:u w:val="single"/>
        </w:rPr>
        <w:t>中标通知书</w:t>
      </w:r>
      <w:r>
        <w:rPr>
          <w:rFonts w:hint="eastAsia"/>
          <w:color w:val="auto"/>
        </w:rPr>
        <w:t>后与本行进入相关采购的商务讨论，双方达成共识后签订采购</w:t>
      </w:r>
      <w:r>
        <w:rPr>
          <w:rFonts w:hint="eastAsia" w:ascii="Times New Roman"/>
          <w:b/>
          <w:color w:val="auto"/>
        </w:rPr>
        <w:t>合同</w:t>
      </w:r>
      <w:r>
        <w:rPr>
          <w:rFonts w:hint="eastAsia"/>
          <w:color w:val="auto"/>
        </w:rPr>
        <w:t>,如双方无法达成共识，招标人有权终止供应商的中标资格。</w:t>
      </w:r>
    </w:p>
    <w:p>
      <w:pPr>
        <w:pStyle w:val="11"/>
        <w:tabs>
          <w:tab w:val="clear" w:pos="1571"/>
        </w:tabs>
        <w:rPr>
          <w:color w:val="auto"/>
        </w:rPr>
      </w:pPr>
      <w:r>
        <w:rPr>
          <w:rFonts w:hint="eastAsia"/>
          <w:color w:val="auto"/>
        </w:rPr>
        <w:t>在授予合同时，招标人有权确定货物数量和服务内容。</w:t>
      </w:r>
    </w:p>
    <w:p>
      <w:pPr>
        <w:pStyle w:val="11"/>
        <w:tabs>
          <w:tab w:val="clear" w:pos="1571"/>
        </w:tabs>
        <w:rPr>
          <w:color w:val="auto"/>
        </w:rPr>
      </w:pPr>
      <w:r>
        <w:rPr>
          <w:rFonts w:hint="eastAsia"/>
          <w:b/>
          <w:i/>
          <w:color w:val="auto"/>
          <w:highlight w:val="yellow"/>
          <w:u w:val="single"/>
        </w:rPr>
        <w:t>中标通知书</w:t>
      </w:r>
      <w:r>
        <w:rPr>
          <w:rFonts w:hint="eastAsia"/>
          <w:color w:val="auto"/>
          <w:highlight w:val="yellow"/>
        </w:rPr>
        <w:t>对</w:t>
      </w:r>
      <w:r>
        <w:rPr>
          <w:rFonts w:hint="eastAsia"/>
          <w:color w:val="auto"/>
        </w:rPr>
        <w:t>招标人和中标供应商均具有法律效力。</w:t>
      </w:r>
      <w:r>
        <w:rPr>
          <w:rFonts w:hint="eastAsia"/>
          <w:b/>
          <w:i/>
          <w:color w:val="auto"/>
          <w:highlight w:val="yellow"/>
          <w:u w:val="single"/>
        </w:rPr>
        <w:t>中标通知书</w:t>
      </w:r>
      <w:r>
        <w:rPr>
          <w:rFonts w:hint="eastAsia"/>
          <w:color w:val="auto"/>
          <w:highlight w:val="yellow"/>
        </w:rPr>
        <w:t>发</w:t>
      </w:r>
      <w:r>
        <w:rPr>
          <w:rFonts w:hint="eastAsia"/>
          <w:color w:val="auto"/>
        </w:rPr>
        <w:t>出后，入围供应商放弃入围资格的，或在采购的商务讨论达成共识后的在30天内不与招标人签订</w:t>
      </w:r>
      <w:r>
        <w:rPr>
          <w:rFonts w:hint="eastAsia" w:ascii="Times New Roman"/>
          <w:b/>
          <w:color w:val="auto"/>
        </w:rPr>
        <w:t>采购合同</w:t>
      </w:r>
      <w:r>
        <w:rPr>
          <w:rFonts w:hint="eastAsia"/>
          <w:color w:val="auto"/>
        </w:rPr>
        <w:t>的，应依法承担法律责任；招标人无故改变入围结果的，依法承担法律责任。</w:t>
      </w:r>
    </w:p>
    <w:p>
      <w:pPr>
        <w:pStyle w:val="11"/>
        <w:tabs>
          <w:tab w:val="clear" w:pos="1571"/>
        </w:tabs>
        <w:rPr>
          <w:color w:val="auto"/>
        </w:rPr>
      </w:pPr>
      <w:r>
        <w:rPr>
          <w:rFonts w:hint="eastAsia"/>
          <w:color w:val="auto"/>
        </w:rPr>
        <w:t>我行具有对入围供应商所实施项目、公司实力等情况进行考察和要求测试拟采购设备的权利</w:t>
      </w:r>
      <w:r>
        <w:rPr>
          <w:rFonts w:hint="eastAsia"/>
          <w:b/>
          <w:color w:val="auto"/>
        </w:rPr>
        <w:t>。</w:t>
      </w:r>
    </w:p>
    <w:p>
      <w:pPr>
        <w:pStyle w:val="11"/>
        <w:tabs>
          <w:tab w:val="clear" w:pos="1571"/>
        </w:tabs>
        <w:rPr>
          <w:color w:val="auto"/>
        </w:rPr>
      </w:pPr>
      <w:r>
        <w:rPr>
          <w:rFonts w:hint="eastAsia"/>
          <w:color w:val="auto"/>
        </w:rPr>
        <w:t>重要提示：投标人必须满足招标指标，关键指标不满足做废标处理。</w:t>
      </w:r>
    </w:p>
    <w:p>
      <w:pPr>
        <w:pStyle w:val="9"/>
        <w:tabs>
          <w:tab w:val="clear" w:pos="432"/>
        </w:tabs>
        <w:rPr>
          <w:color w:val="auto"/>
        </w:rPr>
      </w:pPr>
      <w:bookmarkStart w:id="29" w:name="_Toc67558710"/>
      <w:r>
        <w:rPr>
          <w:rFonts w:hint="eastAsia"/>
          <w:color w:val="auto"/>
        </w:rPr>
        <w:t>招标文件的解释</w:t>
      </w:r>
      <w:bookmarkEnd w:id="29"/>
    </w:p>
    <w:p>
      <w:pPr>
        <w:spacing w:line="360" w:lineRule="auto"/>
        <w:ind w:firstLine="432"/>
        <w:rPr>
          <w:color w:val="auto"/>
        </w:rPr>
      </w:pPr>
      <w:r>
        <w:rPr>
          <w:rFonts w:hint="eastAsia"/>
          <w:color w:val="auto"/>
        </w:rPr>
        <w:t>本招标文件由招标人负责解释。</w:t>
      </w:r>
    </w:p>
    <w:p>
      <w:pPr>
        <w:spacing w:line="360" w:lineRule="auto"/>
        <w:jc w:val="center"/>
        <w:rPr>
          <w:rFonts w:ascii="黑体" w:eastAsia="黑体"/>
          <w:color w:val="auto"/>
          <w:spacing w:val="20"/>
          <w:sz w:val="32"/>
          <w:szCs w:val="32"/>
        </w:rPr>
      </w:pPr>
    </w:p>
    <w:p>
      <w:pPr>
        <w:rPr>
          <w:rFonts w:ascii="Cambria" w:hAnsi="Cambria" w:eastAsia="黑体"/>
          <w:bCs/>
          <w:snapToGrid w:val="0"/>
          <w:color w:val="auto"/>
          <w:sz w:val="44"/>
          <w:szCs w:val="32"/>
        </w:rPr>
      </w:pPr>
    </w:p>
    <w:p>
      <w:pPr>
        <w:rPr>
          <w:rFonts w:ascii="Cambria" w:hAnsi="Cambria" w:eastAsia="黑体"/>
          <w:bCs/>
          <w:snapToGrid w:val="0"/>
          <w:color w:val="auto"/>
          <w:sz w:val="44"/>
          <w:szCs w:val="32"/>
        </w:rPr>
      </w:pPr>
    </w:p>
    <w:p>
      <w:pPr>
        <w:rPr>
          <w:color w:val="auto"/>
        </w:rPr>
      </w:pPr>
    </w:p>
    <w:p>
      <w:pPr>
        <w:pStyle w:val="27"/>
        <w:rPr>
          <w:snapToGrid w:val="0"/>
          <w:color w:val="auto"/>
        </w:rPr>
      </w:pPr>
      <w:bookmarkStart w:id="30" w:name="_Toc67558711"/>
      <w:r>
        <w:rPr>
          <w:rFonts w:hint="eastAsia"/>
          <w:snapToGrid w:val="0"/>
          <w:color w:val="auto"/>
        </w:rPr>
        <w:t>第二部分：产品需求说明书</w:t>
      </w:r>
      <w:bookmarkEnd w:id="30"/>
    </w:p>
    <w:p>
      <w:pPr>
        <w:jc w:val="left"/>
        <w:rPr>
          <w:rFonts w:ascii="宋体" w:hAnsi="宋体" w:cs="宋体"/>
          <w:b/>
          <w:bCs/>
          <w:color w:val="auto"/>
          <w:sz w:val="28"/>
          <w:szCs w:val="28"/>
        </w:rPr>
      </w:pPr>
    </w:p>
    <w:p>
      <w:pPr>
        <w:pStyle w:val="9"/>
        <w:numPr>
          <w:ilvl w:val="0"/>
          <w:numId w:val="3"/>
        </w:numPr>
        <w:rPr>
          <w:color w:val="auto"/>
        </w:rPr>
      </w:pPr>
      <w:r>
        <w:rPr>
          <w:rFonts w:hint="eastAsia"/>
          <w:color w:val="auto"/>
        </w:rPr>
        <w:t>项目目标和范围</w:t>
      </w:r>
    </w:p>
    <w:p>
      <w:pPr>
        <w:pStyle w:val="9"/>
        <w:numPr>
          <w:ilvl w:val="0"/>
          <w:numId w:val="4"/>
        </w:numPr>
        <w:rPr>
          <w:color w:val="auto"/>
        </w:rPr>
      </w:pPr>
      <w:bookmarkStart w:id="31" w:name="_Toc67558713"/>
      <w:r>
        <w:rPr>
          <w:rFonts w:hint="eastAsia"/>
          <w:color w:val="auto"/>
        </w:rPr>
        <w:t>项目目标</w:t>
      </w:r>
      <w:bookmarkEnd w:id="31"/>
    </w:p>
    <w:p>
      <w:pPr>
        <w:widowControl/>
        <w:jc w:val="left"/>
        <w:rPr>
          <w:rFonts w:ascii="宋体" w:hAnsi="宋体" w:cs="宋体"/>
          <w:color w:val="auto"/>
          <w:kern w:val="0"/>
          <w:szCs w:val="21"/>
        </w:rPr>
      </w:pPr>
      <w:bookmarkStart w:id="32" w:name="_Toc67558714"/>
      <w:r>
        <w:rPr>
          <w:rFonts w:hint="eastAsia" w:ascii="宋体" w:hAnsi="宋体" w:cs="宋体"/>
          <w:color w:val="auto"/>
          <w:kern w:val="0"/>
          <w:szCs w:val="21"/>
        </w:rPr>
        <w:t xml:space="preserve">    建设企业微信社交银行系统，实现快速“获客”、全面“知客”、促进客户高效转化的目标，同时实现系统和后台管理的灵活性、便利性和合规性。</w:t>
      </w:r>
    </w:p>
    <w:p>
      <w:pPr>
        <w:widowControl/>
        <w:jc w:val="left"/>
        <w:rPr>
          <w:rFonts w:ascii="宋体" w:hAnsi="宋体" w:cs="宋体"/>
          <w:color w:val="auto"/>
          <w:kern w:val="0"/>
          <w:szCs w:val="21"/>
        </w:rPr>
      </w:pPr>
      <w:r>
        <w:rPr>
          <w:rFonts w:hint="eastAsia" w:ascii="宋体" w:hAnsi="宋体" w:cs="宋体"/>
          <w:color w:val="auto"/>
          <w:kern w:val="0"/>
          <w:szCs w:val="21"/>
        </w:rPr>
        <w:t xml:space="preserve">    通过高频、高质量的活动和内容，进行社交化分享和裂变，快速将公域流量转变为私域流量，通过数据埋点、数字化营销内容、客户经理小站等工具实现客户添加-认证-管理-营销全生命周期运营。</w:t>
      </w:r>
    </w:p>
    <w:p>
      <w:pPr>
        <w:widowControl/>
        <w:jc w:val="left"/>
        <w:rPr>
          <w:rFonts w:ascii="宋体" w:hAnsi="宋体" w:cs="宋体"/>
          <w:color w:val="auto"/>
          <w:kern w:val="0"/>
          <w:szCs w:val="21"/>
        </w:rPr>
      </w:pPr>
      <w:r>
        <w:rPr>
          <w:rFonts w:hint="eastAsia" w:ascii="宋体" w:hAnsi="宋体" w:cs="宋体"/>
          <w:color w:val="auto"/>
          <w:kern w:val="0"/>
          <w:szCs w:val="21"/>
        </w:rPr>
        <w:t xml:space="preserve">    通过客户、客群管理，同步企业微信信息，实现客户资料同步、离职继承、群聊质检等流程的便利性管理；通过会话存档、敏感词库和敏感行为监控，实现企业微信会话聊天的合规性管理。</w:t>
      </w:r>
    </w:p>
    <w:p>
      <w:pPr>
        <w:pStyle w:val="9"/>
        <w:numPr>
          <w:ilvl w:val="0"/>
          <w:numId w:val="4"/>
        </w:numPr>
        <w:rPr>
          <w:color w:val="auto"/>
        </w:rPr>
      </w:pPr>
      <w:r>
        <w:rPr>
          <w:rFonts w:hint="eastAsia"/>
          <w:color w:val="auto"/>
        </w:rPr>
        <w:t>项目实施范围</w:t>
      </w:r>
    </w:p>
    <w:p>
      <w:pPr>
        <w:widowControl/>
        <w:jc w:val="left"/>
        <w:rPr>
          <w:rFonts w:ascii="宋体" w:hAnsi="宋体" w:cs="宋体"/>
          <w:color w:val="auto"/>
          <w:kern w:val="0"/>
          <w:szCs w:val="21"/>
        </w:rPr>
      </w:pPr>
      <w:r>
        <w:rPr>
          <w:rFonts w:hint="eastAsia" w:ascii="宋体" w:hAnsi="宋体" w:cs="宋体"/>
          <w:color w:val="auto"/>
          <w:kern w:val="0"/>
          <w:szCs w:val="21"/>
        </w:rPr>
        <w:t xml:space="preserve">    本次项目实施范围包括系统规划、方案设计、需求分析、系统设计、环境部署、系统开发、周边系统对接、集成测试、联调测试、验收测试支持、系统部署、上线发布、培训和推广支持等内容。项目服务周期为三年，包含企业微信本地化部署、会话存档功能服务、企业微信客户容量及企业认证、维护维保及系统升级。所有内容需要经过四川天府银行的评审，符合四川天府银行既有的管理规定。</w:t>
      </w:r>
    </w:p>
    <w:p>
      <w:pPr>
        <w:pStyle w:val="9"/>
        <w:numPr>
          <w:ilvl w:val="0"/>
          <w:numId w:val="4"/>
        </w:numPr>
        <w:rPr>
          <w:color w:val="auto"/>
        </w:rPr>
      </w:pPr>
      <w:r>
        <w:rPr>
          <w:rFonts w:hint="eastAsia"/>
          <w:color w:val="auto"/>
        </w:rPr>
        <w:t>技术范围</w:t>
      </w:r>
    </w:p>
    <w:p>
      <w:pPr>
        <w:widowControl/>
        <w:jc w:val="left"/>
        <w:rPr>
          <w:rFonts w:ascii="宋体" w:hAnsi="宋体" w:cs="宋体"/>
          <w:color w:val="auto"/>
          <w:kern w:val="0"/>
          <w:szCs w:val="21"/>
        </w:rPr>
      </w:pPr>
      <w:r>
        <w:rPr>
          <w:rFonts w:hint="eastAsia" w:ascii="宋体" w:hAnsi="宋体" w:cs="宋体"/>
          <w:color w:val="auto"/>
          <w:kern w:val="0"/>
          <w:szCs w:val="21"/>
        </w:rPr>
        <w:t xml:space="preserve">    系统技术架构符合业内主流技术标准，并满足四川天府银行的需求、项目、系统、安全等标准和相关技术架构标准要求。</w:t>
      </w:r>
    </w:p>
    <w:p>
      <w:pPr>
        <w:pStyle w:val="2"/>
        <w:rPr>
          <w:color w:val="auto"/>
        </w:rPr>
      </w:pPr>
    </w:p>
    <w:p>
      <w:pPr>
        <w:pStyle w:val="9"/>
        <w:numPr>
          <w:ilvl w:val="0"/>
          <w:numId w:val="3"/>
        </w:numPr>
        <w:rPr>
          <w:color w:val="auto"/>
        </w:rPr>
      </w:pPr>
      <w:r>
        <w:rPr>
          <w:rFonts w:hint="eastAsia"/>
          <w:color w:val="auto"/>
        </w:rPr>
        <w:t>项目总体原则</w:t>
      </w:r>
    </w:p>
    <w:p>
      <w:pPr>
        <w:pStyle w:val="9"/>
        <w:numPr>
          <w:ilvl w:val="0"/>
          <w:numId w:val="4"/>
        </w:numPr>
        <w:rPr>
          <w:color w:val="auto"/>
        </w:rPr>
      </w:pPr>
      <w:r>
        <w:rPr>
          <w:rFonts w:hint="eastAsia"/>
          <w:color w:val="auto"/>
        </w:rPr>
        <w:t>前瞻性、实用性、稳定性和先进性</w:t>
      </w:r>
    </w:p>
    <w:p>
      <w:pPr>
        <w:widowControl/>
        <w:jc w:val="left"/>
        <w:rPr>
          <w:rFonts w:ascii="宋体" w:hAnsi="宋体" w:cs="宋体"/>
          <w:color w:val="auto"/>
          <w:kern w:val="0"/>
          <w:szCs w:val="21"/>
        </w:rPr>
      </w:pPr>
      <w:r>
        <w:rPr>
          <w:rFonts w:hint="eastAsia" w:ascii="宋体" w:hAnsi="宋体" w:cs="宋体"/>
          <w:color w:val="auto"/>
          <w:kern w:val="0"/>
          <w:szCs w:val="21"/>
        </w:rPr>
        <w:t xml:space="preserve">    投标公司必须根据国际国内最先进银行实施经验，帮助招标人设计企业微信平台系统总体技术架构，要在充分满足系统一期建设内容的基础上兼顾二期乃至后期扩展，要求必须与四川天府银行数字化营销系统等实现无缝对接。投标公司的平台具有较强的前瞻性和高度可扩展性，系统建设方案要考虑招标人的实际情况，力求系统选型准确、功能完备实用、便于功能扩展。投标公司建设的平台需要支持公司未来新功能、新产品、新活动在平台上的安全、稳定的持续性升级扩展。</w:t>
      </w:r>
    </w:p>
    <w:p>
      <w:pPr>
        <w:pStyle w:val="9"/>
        <w:numPr>
          <w:ilvl w:val="0"/>
          <w:numId w:val="4"/>
        </w:numPr>
        <w:rPr>
          <w:color w:val="auto"/>
        </w:rPr>
      </w:pPr>
      <w:r>
        <w:rPr>
          <w:rFonts w:hint="eastAsia"/>
          <w:color w:val="auto"/>
        </w:rPr>
        <w:t>模块化</w:t>
      </w:r>
    </w:p>
    <w:p>
      <w:pPr>
        <w:widowControl/>
        <w:jc w:val="left"/>
        <w:rPr>
          <w:rFonts w:ascii="宋体" w:hAnsi="宋体" w:cs="宋体"/>
          <w:color w:val="auto"/>
          <w:kern w:val="0"/>
          <w:szCs w:val="21"/>
        </w:rPr>
      </w:pPr>
      <w:r>
        <w:rPr>
          <w:rFonts w:hint="eastAsia" w:ascii="宋体" w:hAnsi="宋体" w:cs="宋体"/>
          <w:color w:val="auto"/>
          <w:kern w:val="0"/>
          <w:szCs w:val="21"/>
        </w:rPr>
        <w:t xml:space="preserve">    系统各个功能采用模块化集成，可以根据需要购置新的业务模块增加系统功能。并保证系统各功能相互之间的紧密集成，特别是要保证分期实施内容之间的无缝衔接。</w:t>
      </w:r>
    </w:p>
    <w:p>
      <w:pPr>
        <w:pStyle w:val="9"/>
        <w:numPr>
          <w:ilvl w:val="0"/>
          <w:numId w:val="4"/>
        </w:numPr>
        <w:rPr>
          <w:color w:val="auto"/>
        </w:rPr>
      </w:pPr>
      <w:r>
        <w:rPr>
          <w:rFonts w:hint="eastAsia"/>
          <w:color w:val="auto"/>
        </w:rPr>
        <w:t>灵活性</w:t>
      </w:r>
    </w:p>
    <w:p>
      <w:pPr>
        <w:widowControl/>
        <w:jc w:val="left"/>
        <w:rPr>
          <w:rFonts w:ascii="宋体" w:hAnsi="宋体" w:cs="宋体"/>
          <w:color w:val="auto"/>
          <w:kern w:val="0"/>
          <w:szCs w:val="21"/>
        </w:rPr>
      </w:pPr>
      <w:r>
        <w:rPr>
          <w:rFonts w:hint="eastAsia" w:ascii="宋体" w:hAnsi="宋体" w:cs="宋体"/>
          <w:color w:val="auto"/>
          <w:kern w:val="0"/>
          <w:szCs w:val="21"/>
        </w:rPr>
        <w:t xml:space="preserve">    企业微信平台系统要适应四川天府银行经营战略调整、组织架构变化、银行业务拓展的灵活性要求；在对接行内各系统方面具有灵活性支持，避免等待技术研发周期，支持业务配置式、参数化管理；平台在各项业务操作和管理方面要便于业务人员的理解和应用，易操作、易管理；面向客户端支持四川天府银行灵活性配置输出，满足四川天府银行多样化的设计方案和营销，具有较高客户体验和参与性。</w:t>
      </w:r>
    </w:p>
    <w:p>
      <w:pPr>
        <w:pStyle w:val="9"/>
        <w:numPr>
          <w:ilvl w:val="0"/>
          <w:numId w:val="4"/>
        </w:numPr>
        <w:rPr>
          <w:color w:val="auto"/>
        </w:rPr>
      </w:pPr>
      <w:r>
        <w:rPr>
          <w:rFonts w:hint="eastAsia"/>
          <w:color w:val="auto"/>
        </w:rPr>
        <w:t>安全性</w:t>
      </w:r>
    </w:p>
    <w:p>
      <w:pPr>
        <w:widowControl/>
        <w:jc w:val="left"/>
        <w:rPr>
          <w:rFonts w:ascii="宋体" w:hAnsi="宋体" w:cs="宋体"/>
          <w:color w:val="auto"/>
          <w:kern w:val="0"/>
          <w:szCs w:val="21"/>
        </w:rPr>
      </w:pPr>
      <w:r>
        <w:rPr>
          <w:rFonts w:hint="eastAsia" w:ascii="宋体" w:hAnsi="宋体" w:cs="宋体"/>
          <w:color w:val="auto"/>
          <w:kern w:val="0"/>
          <w:szCs w:val="21"/>
        </w:rPr>
        <w:t xml:space="preserve">    提供平台全方位的安全保障，支持网络、硬件、软件和数据全方面的安全措施。要从网络接入、数据传输、系统管理、业务权限控制等多个方面采取措施，充分保证系统安全性。实现方便可视化的系统运行实时监控，可及时了解系统运行情况，故障发生时能够准确定位故障点。</w:t>
      </w:r>
    </w:p>
    <w:p>
      <w:pPr>
        <w:widowControl/>
        <w:jc w:val="left"/>
        <w:rPr>
          <w:rFonts w:ascii="宋体" w:hAnsi="宋体" w:cs="宋体"/>
          <w:color w:val="auto"/>
          <w:kern w:val="0"/>
          <w:szCs w:val="21"/>
        </w:rPr>
      </w:pPr>
      <w:r>
        <w:rPr>
          <w:rFonts w:hint="eastAsia" w:ascii="宋体" w:hAnsi="宋体" w:cs="宋体"/>
          <w:color w:val="auto"/>
          <w:kern w:val="0"/>
          <w:szCs w:val="21"/>
        </w:rPr>
        <w:t xml:space="preserve">    各功能模块中数据的访问、传输、下载、分析、应用等过程必须具有加密功能或设置严格的权限控制，保证不同用户之间的数据必须是互相隔离和保密；采用多种安全防范技术和措施，保障系统的信息安全，保障系统长期稳定可靠运行，同时在系统设计要充分考虑系统运行性能，达到“简便、实用、快捷、安全、准确”的目的。</w:t>
      </w:r>
    </w:p>
    <w:p>
      <w:pPr>
        <w:widowControl/>
        <w:jc w:val="left"/>
        <w:rPr>
          <w:rFonts w:ascii="宋体" w:hAnsi="宋体" w:cs="宋体"/>
          <w:color w:val="auto"/>
          <w:kern w:val="0"/>
          <w:szCs w:val="21"/>
        </w:rPr>
      </w:pPr>
      <w:r>
        <w:rPr>
          <w:rFonts w:hint="eastAsia" w:ascii="宋体" w:hAnsi="宋体" w:cs="宋体"/>
          <w:color w:val="auto"/>
          <w:kern w:val="0"/>
          <w:szCs w:val="21"/>
        </w:rPr>
        <w:t xml:space="preserve">    系统应具备在交易时间内连续、无故障运行的能力，系统应具有定时备份能力，能支持集群或负载等多种部署方式，并有应急处理、故障恢复功能。</w:t>
      </w:r>
    </w:p>
    <w:p>
      <w:pPr>
        <w:pStyle w:val="9"/>
        <w:numPr>
          <w:ilvl w:val="0"/>
          <w:numId w:val="4"/>
        </w:numPr>
        <w:rPr>
          <w:color w:val="auto"/>
        </w:rPr>
      </w:pPr>
      <w:r>
        <w:rPr>
          <w:rFonts w:hint="eastAsia"/>
          <w:color w:val="auto"/>
        </w:rPr>
        <w:t>开放性</w:t>
      </w:r>
    </w:p>
    <w:p>
      <w:pPr>
        <w:widowControl/>
        <w:jc w:val="left"/>
        <w:rPr>
          <w:rFonts w:ascii="宋体" w:hAnsi="宋体" w:cs="宋体"/>
          <w:color w:val="auto"/>
          <w:kern w:val="0"/>
          <w:szCs w:val="21"/>
        </w:rPr>
      </w:pPr>
      <w:r>
        <w:rPr>
          <w:rFonts w:hint="eastAsia" w:ascii="宋体" w:hAnsi="宋体" w:cs="宋体"/>
          <w:color w:val="auto"/>
          <w:kern w:val="0"/>
          <w:szCs w:val="21"/>
        </w:rPr>
        <w:t xml:space="preserve">    整个企业微信平台系统应具有良好的开放性，系统提供其内部使用的功能原理、公式、数据来源及加工过程，使管理人员能够对自行开发或有疑问的功能输出结果进行合理性检查，避免系统本身产生的技术风险。平台满足四川天府银行与内部系统、外部公司的共享合作。</w:t>
      </w:r>
    </w:p>
    <w:p>
      <w:pPr>
        <w:pStyle w:val="9"/>
        <w:numPr>
          <w:ilvl w:val="0"/>
          <w:numId w:val="4"/>
        </w:numPr>
        <w:rPr>
          <w:color w:val="auto"/>
        </w:rPr>
      </w:pPr>
      <w:r>
        <w:rPr>
          <w:rFonts w:hint="eastAsia"/>
          <w:color w:val="auto"/>
        </w:rPr>
        <w:t>易开发性</w:t>
      </w:r>
    </w:p>
    <w:p>
      <w:pPr>
        <w:widowControl/>
        <w:jc w:val="left"/>
        <w:rPr>
          <w:rFonts w:ascii="宋体" w:hAnsi="宋体" w:cs="宋体"/>
          <w:color w:val="auto"/>
          <w:kern w:val="0"/>
          <w:szCs w:val="21"/>
        </w:rPr>
      </w:pPr>
      <w:r>
        <w:rPr>
          <w:rFonts w:hint="eastAsia" w:ascii="宋体" w:hAnsi="宋体" w:cs="宋体"/>
          <w:color w:val="auto"/>
          <w:kern w:val="0"/>
          <w:szCs w:val="21"/>
        </w:rPr>
        <w:t xml:space="preserve">    系统能提供标准数据语言及灵活完整的二次开发平台，使管理人员能够根据业务发展的需要，自行设计新的交易、规则、报表等，独立完成业务功能实现。以便招标人能够应用此套系统适应不断变化的经营环境和监管要求。</w:t>
      </w:r>
    </w:p>
    <w:p>
      <w:pPr>
        <w:pStyle w:val="9"/>
        <w:numPr>
          <w:ilvl w:val="0"/>
          <w:numId w:val="4"/>
        </w:numPr>
        <w:rPr>
          <w:color w:val="auto"/>
        </w:rPr>
      </w:pPr>
      <w:r>
        <w:rPr>
          <w:rFonts w:hint="eastAsia"/>
          <w:color w:val="auto"/>
        </w:rPr>
        <w:t>易操作原则</w:t>
      </w:r>
    </w:p>
    <w:p>
      <w:pPr>
        <w:widowControl/>
        <w:jc w:val="left"/>
        <w:rPr>
          <w:rFonts w:ascii="宋体" w:hAnsi="宋体" w:cs="宋体"/>
          <w:color w:val="auto"/>
          <w:kern w:val="0"/>
          <w:szCs w:val="21"/>
        </w:rPr>
      </w:pPr>
      <w:r>
        <w:rPr>
          <w:rFonts w:hint="eastAsia" w:ascii="宋体" w:hAnsi="宋体" w:cs="宋体"/>
          <w:color w:val="auto"/>
          <w:kern w:val="0"/>
          <w:szCs w:val="21"/>
        </w:rPr>
        <w:t xml:space="preserve">    各功能模块应具有通俗、友好的用户界面，操做方法方便、简单、易学易懂。</w:t>
      </w:r>
    </w:p>
    <w:p>
      <w:pPr>
        <w:pStyle w:val="9"/>
        <w:numPr>
          <w:ilvl w:val="0"/>
          <w:numId w:val="4"/>
        </w:numPr>
        <w:rPr>
          <w:color w:val="auto"/>
        </w:rPr>
      </w:pPr>
      <w:r>
        <w:rPr>
          <w:rFonts w:hint="eastAsia"/>
          <w:color w:val="auto"/>
        </w:rPr>
        <w:t>实用性原则</w:t>
      </w:r>
    </w:p>
    <w:p>
      <w:pPr>
        <w:widowControl/>
        <w:jc w:val="left"/>
        <w:rPr>
          <w:rFonts w:ascii="宋体" w:hAnsi="宋体" w:cs="宋体"/>
          <w:color w:val="auto"/>
          <w:kern w:val="0"/>
          <w:szCs w:val="21"/>
        </w:rPr>
      </w:pPr>
      <w:r>
        <w:rPr>
          <w:rFonts w:hint="eastAsia" w:ascii="宋体" w:hAnsi="宋体" w:cs="宋体"/>
          <w:color w:val="auto"/>
          <w:kern w:val="0"/>
          <w:szCs w:val="21"/>
        </w:rPr>
        <w:t xml:space="preserve">    系统平台能够充分满足现阶段的业务功能要求，并能够支持未来3至5年的业务发展。</w:t>
      </w:r>
    </w:p>
    <w:p>
      <w:pPr>
        <w:pStyle w:val="9"/>
        <w:numPr>
          <w:ilvl w:val="0"/>
          <w:numId w:val="3"/>
        </w:numPr>
        <w:rPr>
          <w:color w:val="auto"/>
        </w:rPr>
      </w:pPr>
      <w:r>
        <w:rPr>
          <w:rFonts w:hint="eastAsia"/>
          <w:color w:val="auto"/>
        </w:rPr>
        <w:t>项目功能性需求</w:t>
      </w:r>
    </w:p>
    <w:p>
      <w:pPr>
        <w:widowControl/>
        <w:jc w:val="left"/>
        <w:rPr>
          <w:rFonts w:ascii="宋体" w:hAnsi="宋体" w:cs="宋体"/>
          <w:color w:val="auto"/>
          <w:kern w:val="0"/>
          <w:szCs w:val="21"/>
        </w:rPr>
      </w:pPr>
      <w:r>
        <w:rPr>
          <w:rFonts w:hint="eastAsia" w:ascii="宋体" w:hAnsi="宋体" w:cs="宋体"/>
          <w:color w:val="auto"/>
          <w:kern w:val="0"/>
          <w:szCs w:val="21"/>
        </w:rPr>
        <w:t xml:space="preserve">    通过四川天府银行企业微信本地化部署，丰富完善线上展业能力，为客户提供及时、有效的业务咨询及服务营销，提升客户经理服务触达有效性，并对客户经理普遍使用个人微信营销客户的潜在风险加强管控，同时赋能客户经理过程管理，强化营销效果。深度与四川天府银行营销管理平台、权益平台等系统交互融合，数据互联互通，简化客户经理操作的同时强化客户经理业务能力。</w:t>
      </w:r>
    </w:p>
    <w:p>
      <w:pPr>
        <w:widowControl/>
        <w:jc w:val="left"/>
        <w:rPr>
          <w:rFonts w:ascii="宋体" w:hAnsi="宋体" w:cs="宋体"/>
          <w:color w:val="auto"/>
          <w:kern w:val="0"/>
          <w:szCs w:val="21"/>
        </w:rPr>
      </w:pPr>
      <w:r>
        <w:rPr>
          <w:rFonts w:hint="eastAsia" w:ascii="宋体" w:hAnsi="宋体" w:cs="宋体"/>
          <w:color w:val="auto"/>
          <w:kern w:val="0"/>
          <w:szCs w:val="21"/>
        </w:rPr>
        <w:t xml:space="preserve">    基础功能需求列表如下，允许并希望厂商在满足基础功能的情况下，有更多额外拓展功能：</w:t>
      </w:r>
    </w:p>
    <w:p>
      <w:pPr>
        <w:pStyle w:val="9"/>
        <w:numPr>
          <w:ilvl w:val="0"/>
          <w:numId w:val="4"/>
        </w:numPr>
        <w:rPr>
          <w:color w:val="auto"/>
        </w:rPr>
      </w:pPr>
      <w:r>
        <w:rPr>
          <w:rFonts w:hint="eastAsia"/>
          <w:color w:val="auto"/>
        </w:rPr>
        <w:t>企业微信侧边栏应用（前端）</w:t>
      </w:r>
    </w:p>
    <w:tbl>
      <w:tblPr>
        <w:tblStyle w:val="29"/>
        <w:tblW w:w="8865" w:type="dxa"/>
        <w:tblInd w:w="0" w:type="dxa"/>
        <w:tblLayout w:type="fixed"/>
        <w:tblCellMar>
          <w:top w:w="0" w:type="dxa"/>
          <w:left w:w="0" w:type="dxa"/>
          <w:bottom w:w="0" w:type="dxa"/>
          <w:right w:w="0" w:type="dxa"/>
        </w:tblCellMar>
      </w:tblPr>
      <w:tblGrid>
        <w:gridCol w:w="724"/>
        <w:gridCol w:w="992"/>
        <w:gridCol w:w="1418"/>
        <w:gridCol w:w="5731"/>
      </w:tblGrid>
      <w:tr>
        <w:tblPrEx>
          <w:tblCellMar>
            <w:top w:w="0" w:type="dxa"/>
            <w:left w:w="0" w:type="dxa"/>
            <w:bottom w:w="0" w:type="dxa"/>
            <w:right w:w="0"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序号</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功能</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子功能</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功能点描述</w:t>
            </w:r>
          </w:p>
        </w:tc>
      </w:tr>
      <w:tr>
        <w:tblPrEx>
          <w:tblCellMar>
            <w:top w:w="0" w:type="dxa"/>
            <w:left w:w="0" w:type="dxa"/>
            <w:bottom w:w="0" w:type="dxa"/>
            <w:right w:w="0" w:type="dxa"/>
          </w:tblCellMar>
        </w:tblPrEx>
        <w:trPr>
          <w:trHeight w:val="243"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p>
        </w:tc>
        <w:tc>
          <w:tcPr>
            <w:tcW w:w="9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客户信息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选择客户</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选择名下某一客户，便于查询下属信息</w:t>
            </w:r>
          </w:p>
        </w:tc>
      </w:tr>
      <w:tr>
        <w:tblPrEx>
          <w:tblCellMar>
            <w:top w:w="0" w:type="dxa"/>
            <w:left w:w="0" w:type="dxa"/>
            <w:bottom w:w="0" w:type="dxa"/>
            <w:right w:w="0" w:type="dxa"/>
          </w:tblCellMar>
        </w:tblPrEx>
        <w:trPr>
          <w:trHeight w:val="376"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基本信息</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展示客户基本信息，包含客户头像、性质、性别、来源、加入时间、类型、电话、企业等基本信息；关联企业内部客户后可展示更多客户属性信息(理财风险等级、客户等级等</w:t>
            </w:r>
            <w:r>
              <w:rPr>
                <w:rFonts w:cs="宋体" w:asciiTheme="minorEastAsia" w:hAnsiTheme="minorEastAsia" w:eastAsiaTheme="minorEastAsia"/>
                <w:color w:val="auto"/>
                <w:sz w:val="22"/>
                <w:szCs w:val="22"/>
              </w:rPr>
              <w:t>)</w:t>
            </w:r>
          </w:p>
        </w:tc>
      </w:tr>
      <w:tr>
        <w:tblPrEx>
          <w:tblCellMar>
            <w:top w:w="0" w:type="dxa"/>
            <w:left w:w="0" w:type="dxa"/>
            <w:bottom w:w="0" w:type="dxa"/>
            <w:right w:w="0" w:type="dxa"/>
          </w:tblCellMar>
        </w:tblPrEx>
        <w:trPr>
          <w:trHeight w:val="298"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展示客户关联成员及群聊数量</w:t>
            </w:r>
          </w:p>
        </w:tc>
      </w:tr>
      <w:tr>
        <w:tblPrEx>
          <w:tblCellMar>
            <w:top w:w="0" w:type="dxa"/>
            <w:left w:w="0" w:type="dxa"/>
            <w:bottom w:w="0" w:type="dxa"/>
            <w:right w:w="0" w:type="dxa"/>
          </w:tblCellMar>
        </w:tblPrEx>
        <w:trPr>
          <w:trHeight w:val="162"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详细展示客户添加哪些成员，及加入哪些群聊</w:t>
            </w:r>
          </w:p>
        </w:tc>
      </w:tr>
      <w:tr>
        <w:tblPrEx>
          <w:tblCellMar>
            <w:top w:w="0" w:type="dxa"/>
            <w:left w:w="0" w:type="dxa"/>
            <w:bottom w:w="0" w:type="dxa"/>
            <w:right w:w="0" w:type="dxa"/>
          </w:tblCellMar>
        </w:tblPrEx>
        <w:trPr>
          <w:trHeight w:val="64"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提醒该客户被其他成员设置成黑名单客户，并展示原因，便于客户经理区分客户</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6</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设置添加客户为黑名单客户，并说明原因，被设置为黑名单的客户在后续活动时会受到限制</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7</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客户画像</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连接行内产品系统或者数据平台，展示资产等相关标签信息</w:t>
            </w:r>
          </w:p>
        </w:tc>
      </w:tr>
      <w:tr>
        <w:tblPrEx>
          <w:tblCellMar>
            <w:top w:w="0" w:type="dxa"/>
            <w:left w:w="0" w:type="dxa"/>
            <w:bottom w:w="0" w:type="dxa"/>
            <w:right w:w="0" w:type="dxa"/>
          </w:tblCellMar>
        </w:tblPrEx>
        <w:trPr>
          <w:trHeight w:val="82"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8</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客户认证后，展示客户crm系统类标签</w:t>
            </w:r>
          </w:p>
        </w:tc>
      </w:tr>
      <w:tr>
        <w:tblPrEx>
          <w:tblCellMar>
            <w:top w:w="0" w:type="dxa"/>
            <w:left w:w="0" w:type="dxa"/>
            <w:bottom w:w="0" w:type="dxa"/>
            <w:right w:w="0" w:type="dxa"/>
          </w:tblCellMar>
        </w:tblPrEx>
        <w:trPr>
          <w:trHeight w:val="216"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9</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展示客户被打企业级标签情况，亦可为客户添加企业级标签</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0</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设置企业级标签外的标签，客户经理私有标签可随意设置，设置完成后进行展示</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1</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客户动态</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显示客户的即时动态信息，包括添加、删除客户、客户打开素材资料等信息</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2</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显示客户经理为客户添加的跟进事项记录，方便客户经理查询进度</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3</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显示客户经理添加的代办事项，随时掌握未办事项，防止遗漏</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4</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转接客户</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转接客户，即客户在客户经理间转移</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5</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添加代办</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添加代办事项</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6</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添加跟进</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添加跟进事项</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7</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客户评价</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服务完客户之后，客户经理可以给客户发送评价的链接，用户打开连接进行评价</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8</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金融小店</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金融产品查询</w:t>
            </w:r>
          </w:p>
        </w:tc>
        <w:tc>
          <w:tcPr>
            <w:tcW w:w="5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展示行内各项金融产品(理财、保险、基金、股票、黄金等)</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r>
              <w:rPr>
                <w:rFonts w:cs="宋体" w:asciiTheme="minorEastAsia" w:hAnsiTheme="minorEastAsia" w:eastAsiaTheme="minorEastAsia"/>
                <w:color w:val="auto"/>
                <w:sz w:val="22"/>
                <w:szCs w:val="22"/>
              </w:rPr>
              <w:t>9</w:t>
            </w: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金融产品发送</w:t>
            </w:r>
          </w:p>
        </w:tc>
        <w:tc>
          <w:tcPr>
            <w:tcW w:w="5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选择名下客户，将对应理财产品发至聊天框内，可快捷发送给客户</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0</w:t>
            </w: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埋点提醒</w:t>
            </w:r>
          </w:p>
        </w:tc>
        <w:tc>
          <w:tcPr>
            <w:tcW w:w="5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客户打开理财产品链接时获取客户动态，数据统计，优化产品推荐</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1</w:t>
            </w:r>
          </w:p>
        </w:tc>
        <w:tc>
          <w:tcPr>
            <w:tcW w:w="9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话术库</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话术库查询</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展示话术分组及对应的话术信息</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2</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新增话术</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客户经理可自定义话术</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3</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话术发送</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选择名下客户，发送当前话术内容到聊天框，快捷回复客户信息</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4</w:t>
            </w:r>
          </w:p>
        </w:tc>
        <w:tc>
          <w:tcPr>
            <w:tcW w:w="9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营销素材</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营销素材展示</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展示管理端配置的各类型的营销素材，素材种类包含文章、链接、海报、PPT、PDF、表格、文档，视频，音频</w:t>
            </w:r>
          </w:p>
        </w:tc>
      </w:tr>
      <w:tr>
        <w:tblPrEx>
          <w:tblCellMar>
            <w:top w:w="0" w:type="dxa"/>
            <w:left w:w="0" w:type="dxa"/>
            <w:bottom w:w="0" w:type="dxa"/>
            <w:right w:w="0" w:type="dxa"/>
          </w:tblCellMar>
        </w:tblPrEx>
        <w:trPr>
          <w:trHeight w:val="146"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5</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营销素材推荐</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展示管理端配置的特别推荐的营销内容</w:t>
            </w:r>
          </w:p>
        </w:tc>
      </w:tr>
      <w:tr>
        <w:tblPrEx>
          <w:tblCellMar>
            <w:top w:w="0" w:type="dxa"/>
            <w:left w:w="0" w:type="dxa"/>
            <w:bottom w:w="0" w:type="dxa"/>
            <w:right w:w="0" w:type="dxa"/>
          </w:tblCellMar>
        </w:tblPrEx>
        <w:trPr>
          <w:trHeight w:val="138"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6</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营销素材热榜</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展示客户点击打开最多的营销素材的列表</w:t>
            </w:r>
          </w:p>
        </w:tc>
      </w:tr>
      <w:tr>
        <w:tblPrEx>
          <w:tblCellMar>
            <w:top w:w="0" w:type="dxa"/>
            <w:left w:w="0" w:type="dxa"/>
            <w:bottom w:w="0" w:type="dxa"/>
            <w:right w:w="0" w:type="dxa"/>
          </w:tblCellMar>
        </w:tblPrEx>
        <w:trPr>
          <w:trHeight w:val="64"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7</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快捷发送</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选择名下客户，将对应素材发送到聊天对话框，可以快速的触达客户，提升客户经理的沟通效率和专业性。</w:t>
            </w:r>
          </w:p>
        </w:tc>
      </w:tr>
      <w:tr>
        <w:tblPrEx>
          <w:tblCellMar>
            <w:top w:w="0" w:type="dxa"/>
            <w:left w:w="0" w:type="dxa"/>
            <w:bottom w:w="0" w:type="dxa"/>
            <w:right w:w="0" w:type="dxa"/>
          </w:tblCellMar>
        </w:tblPrEx>
        <w:trPr>
          <w:trHeight w:val="64"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8</w:t>
            </w:r>
          </w:p>
        </w:tc>
        <w:tc>
          <w:tcPr>
            <w:tcW w:w="9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一客一码</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生成二维码</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一个员工有一个推广的二维码，员工分享客户，客户分享员工码进行营销</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2</w:t>
            </w:r>
            <w:r>
              <w:rPr>
                <w:rFonts w:cs="宋体" w:asciiTheme="minorEastAsia" w:hAnsiTheme="minorEastAsia" w:eastAsiaTheme="minorEastAsia"/>
                <w:color w:val="auto"/>
                <w:sz w:val="22"/>
                <w:szCs w:val="22"/>
              </w:rPr>
              <w:t>9</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邀请裂变统计</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查看经过该客户引导裂变的客户信息列表</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0</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快捷发送</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选择名下客户，将二维码快捷发送客户或客户群，促使客户协助运营，扩大获客范围</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1</w:t>
            </w:r>
          </w:p>
        </w:tc>
        <w:tc>
          <w:tcPr>
            <w:tcW w:w="992" w:type="dxa"/>
            <w:vMerge w:val="restart"/>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咨询分享</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资讯首页</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为客户经理提供最新、最热门财经资讯信息，可以实时掌握社会热点。支持推送给客户</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2</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分享资讯</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将资讯分享给客户或客群</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3</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分享朋友圈</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将早报资讯分享到朋友圈，可分享资讯整体，亦可单条分享</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4</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资讯详情</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查看单条资讯详情信息</w:t>
            </w:r>
          </w:p>
        </w:tc>
      </w:tr>
      <w:tr>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5</w:t>
            </w:r>
          </w:p>
        </w:tc>
        <w:tc>
          <w:tcPr>
            <w:tcW w:w="992" w:type="dxa"/>
            <w:vMerge w:val="restart"/>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运营海报</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海报首页</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为客户经理提供丰富的海报资源，以便于客户增大有效营销概率，提升效率</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6</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海报查看</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查看单个海报信息</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7</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海报分享</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分享海报给客户或客群</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8</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发布朋友圈</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sz w:val="22"/>
                <w:szCs w:val="22"/>
              </w:rPr>
              <w:t>将海报分布朋友圈</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9</w:t>
            </w:r>
          </w:p>
        </w:tc>
        <w:tc>
          <w:tcPr>
            <w:tcW w:w="992" w:type="dxa"/>
            <w:vMerge w:val="restart"/>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经理提醒</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待办事项</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查看待办任务</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r>
              <w:rPr>
                <w:rFonts w:cs="宋体" w:asciiTheme="minorEastAsia" w:hAnsiTheme="minorEastAsia" w:eastAsiaTheme="minorEastAsia"/>
                <w:color w:val="auto"/>
                <w:sz w:val="22"/>
                <w:szCs w:val="22"/>
              </w:rPr>
              <w:t>0</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未完成任务</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查看未完成任务</w:t>
            </w:r>
          </w:p>
        </w:tc>
      </w:tr>
      <w:tr>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r>
              <w:rPr>
                <w:rFonts w:cs="宋体" w:asciiTheme="minorEastAsia" w:hAnsiTheme="minorEastAsia" w:eastAsiaTheme="minorEastAsia"/>
                <w:color w:val="auto"/>
                <w:sz w:val="22"/>
                <w:szCs w:val="22"/>
              </w:rPr>
              <w:t>4</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已完成任务</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查看已完成任务</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r>
              <w:rPr>
                <w:rFonts w:cs="宋体" w:asciiTheme="minorEastAsia" w:hAnsiTheme="minorEastAsia" w:eastAsiaTheme="minorEastAsia"/>
                <w:color w:val="auto"/>
                <w:sz w:val="22"/>
                <w:szCs w:val="22"/>
              </w:rPr>
              <w:t>5</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营销事件提醒</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营销事件提醒</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r>
              <w:rPr>
                <w:rFonts w:cs="宋体" w:asciiTheme="minorEastAsia" w:hAnsiTheme="minorEastAsia" w:eastAsiaTheme="minorEastAsia"/>
                <w:color w:val="auto"/>
                <w:sz w:val="22"/>
                <w:szCs w:val="22"/>
              </w:rPr>
              <w:t>6</w:t>
            </w:r>
          </w:p>
        </w:tc>
        <w:tc>
          <w:tcPr>
            <w:tcW w:w="992" w:type="dxa"/>
            <w:vMerge w:val="restart"/>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经理视图</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客户视图</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管护客户、潜在客户、客户数据分析</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r>
              <w:rPr>
                <w:rFonts w:cs="宋体" w:asciiTheme="minorEastAsia" w:hAnsiTheme="minorEastAsia" w:eastAsiaTheme="minorEastAsia"/>
                <w:color w:val="auto"/>
                <w:sz w:val="22"/>
                <w:szCs w:val="22"/>
              </w:rPr>
              <w:t>7</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产品视图</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产品数据分析</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r>
              <w:rPr>
                <w:rFonts w:cs="宋体" w:asciiTheme="minorEastAsia" w:hAnsiTheme="minorEastAsia" w:eastAsiaTheme="minorEastAsia"/>
                <w:color w:val="auto"/>
                <w:sz w:val="22"/>
                <w:szCs w:val="22"/>
              </w:rPr>
              <w:t>8</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我的</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展示客户经理相关数据信息</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4</w:t>
            </w:r>
            <w:r>
              <w:rPr>
                <w:rFonts w:cs="宋体" w:asciiTheme="minorEastAsia" w:hAnsiTheme="minorEastAsia" w:eastAsiaTheme="minorEastAsia"/>
                <w:color w:val="auto"/>
                <w:sz w:val="22"/>
                <w:szCs w:val="22"/>
              </w:rPr>
              <w:t>9</w:t>
            </w:r>
          </w:p>
        </w:tc>
        <w:tc>
          <w:tcPr>
            <w:tcW w:w="9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金融提醒</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数据日报提醒</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根据管理端配置，提醒展示昨日客户新增、流失、净增数，以及客户群新群新增、群客户总数、群新增客户、群流失客户、群净增客户数</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0</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数据日报提醒详情</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页面展示数据日报详情，开设开关，可打开关闭该项内容提醒</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1</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数据周报提醒</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根据管理端配置，提醒展示上周客户新增、流失、净增数，以及客户群新群新增、群客户总数、群新增客户、群流失客户、群净增客户数</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2</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数据周报提醒详情</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页面展示数据周报详情，开设开关，可打开关闭该项内容提醒</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3</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客户流失</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推送告知客户经理该客户已将其删除，便于快捷掌控客户流失情况</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4</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客户流失详情</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页面展示流失客户详情信息</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5</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代办跟踪</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推送代办和跟踪事项进度情况，方便客户经理掌握进度，防止遗漏</w:t>
            </w:r>
          </w:p>
        </w:tc>
      </w:tr>
      <w:tr>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6</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代办跟踪详情</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页面展示代办和跟踪事项进度情况</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5</w:t>
            </w:r>
            <w:r>
              <w:rPr>
                <w:rFonts w:cs="宋体" w:asciiTheme="minorEastAsia" w:hAnsiTheme="minorEastAsia" w:eastAsiaTheme="minorEastAsia"/>
                <w:color w:val="auto"/>
                <w:sz w:val="22"/>
                <w:szCs w:val="22"/>
              </w:rPr>
              <w:t>7</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素材跟踪</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客户打开素材信息提醒</w:t>
            </w:r>
          </w:p>
        </w:tc>
      </w:tr>
      <w:tr>
        <w:tblPrEx>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cs="宋体" w:asciiTheme="minorEastAsia" w:hAnsiTheme="minorEastAsia" w:eastAsiaTheme="minorEastAsia"/>
                <w:color w:val="auto"/>
                <w:sz w:val="22"/>
                <w:szCs w:val="22"/>
              </w:rPr>
              <w:t>58</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kern w:val="0"/>
                <w:sz w:val="22"/>
                <w:szCs w:val="22"/>
              </w:rPr>
              <w:t>素材跟踪详情</w:t>
            </w:r>
          </w:p>
        </w:tc>
        <w:tc>
          <w:tcPr>
            <w:tcW w:w="5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textAlignment w:val="baseline"/>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页面展示客户打开素材详情信息</w:t>
            </w:r>
          </w:p>
        </w:tc>
      </w:tr>
    </w:tbl>
    <w:p>
      <w:pPr>
        <w:pStyle w:val="9"/>
        <w:numPr>
          <w:ilvl w:val="0"/>
          <w:numId w:val="4"/>
        </w:numPr>
        <w:rPr>
          <w:color w:val="auto"/>
        </w:rPr>
      </w:pPr>
      <w:r>
        <w:rPr>
          <w:rFonts w:hint="eastAsia"/>
          <w:color w:val="auto"/>
        </w:rPr>
        <w:t>运营管控平台（后台）</w:t>
      </w:r>
    </w:p>
    <w:tbl>
      <w:tblPr>
        <w:tblStyle w:val="29"/>
        <w:tblW w:w="8934" w:type="dxa"/>
        <w:tblInd w:w="93" w:type="dxa"/>
        <w:tblLayout w:type="autofit"/>
        <w:tblCellMar>
          <w:top w:w="0" w:type="dxa"/>
          <w:left w:w="108" w:type="dxa"/>
          <w:bottom w:w="0" w:type="dxa"/>
          <w:right w:w="108" w:type="dxa"/>
        </w:tblCellMar>
      </w:tblPr>
      <w:tblGrid>
        <w:gridCol w:w="582"/>
        <w:gridCol w:w="1276"/>
        <w:gridCol w:w="1321"/>
        <w:gridCol w:w="5755"/>
      </w:tblGrid>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pacing w:val="-11"/>
                <w:sz w:val="22"/>
                <w:szCs w:val="22"/>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功能</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子功能</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功能点描述</w:t>
            </w:r>
          </w:p>
        </w:tc>
      </w:tr>
      <w:tr>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基础功能</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用户管理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管理员有从</w:t>
            </w:r>
            <w:r>
              <w:rPr>
                <w:rStyle w:val="59"/>
                <w:rFonts w:hint="eastAsia" w:cs="仿宋" w:asciiTheme="minorEastAsia" w:hAnsiTheme="minorEastAsia" w:eastAsiaTheme="minorEastAsia"/>
                <w:color w:val="auto"/>
                <w:sz w:val="22"/>
                <w:szCs w:val="22"/>
              </w:rPr>
              <w:t>OA</w:t>
            </w:r>
            <w:r>
              <w:rPr>
                <w:rStyle w:val="58"/>
                <w:rFonts w:hint="eastAsia" w:cs="仿宋" w:asciiTheme="minorEastAsia" w:hAnsiTheme="minorEastAsia" w:eastAsiaTheme="minorEastAsia"/>
                <w:color w:val="auto"/>
                <w:sz w:val="22"/>
                <w:szCs w:val="22"/>
              </w:rPr>
              <w:t>系统或者相关系统同步通讯录，组织架构增</w:t>
            </w:r>
            <w:r>
              <w:rPr>
                <w:rStyle w:val="59"/>
                <w:rFonts w:hint="eastAsia" w:cs="仿宋" w:asciiTheme="minorEastAsia" w:hAnsiTheme="minorEastAsia" w:eastAsiaTheme="minorEastAsia"/>
                <w:color w:val="auto"/>
                <w:sz w:val="22"/>
                <w:szCs w:val="22"/>
              </w:rPr>
              <w:t>/</w:t>
            </w:r>
            <w:r>
              <w:rPr>
                <w:rStyle w:val="58"/>
                <w:rFonts w:hint="eastAsia" w:cs="仿宋" w:asciiTheme="minorEastAsia" w:hAnsiTheme="minorEastAsia" w:eastAsiaTheme="minorEastAsia"/>
                <w:color w:val="auto"/>
                <w:sz w:val="22"/>
                <w:szCs w:val="22"/>
              </w:rPr>
              <w:t>删</w:t>
            </w:r>
            <w:r>
              <w:rPr>
                <w:rStyle w:val="59"/>
                <w:rFonts w:hint="eastAsia" w:cs="仿宋" w:asciiTheme="minorEastAsia" w:hAnsiTheme="minorEastAsia" w:eastAsiaTheme="minorEastAsia"/>
                <w:color w:val="auto"/>
                <w:sz w:val="22"/>
                <w:szCs w:val="22"/>
              </w:rPr>
              <w:t>/</w:t>
            </w:r>
            <w:r>
              <w:rPr>
                <w:rStyle w:val="58"/>
                <w:rFonts w:hint="eastAsia" w:cs="仿宋" w:asciiTheme="minorEastAsia" w:hAnsiTheme="minorEastAsia" w:eastAsiaTheme="minorEastAsia"/>
                <w:color w:val="auto"/>
                <w:sz w:val="22"/>
                <w:szCs w:val="22"/>
              </w:rPr>
              <w:t>改、同步管理</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菜单管理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对管理端菜单进行管理</w:t>
            </w:r>
          </w:p>
        </w:tc>
      </w:tr>
      <w:tr>
        <w:tblPrEx>
          <w:tblCellMar>
            <w:top w:w="0" w:type="dxa"/>
            <w:left w:w="108" w:type="dxa"/>
            <w:bottom w:w="0" w:type="dxa"/>
            <w:right w:w="108" w:type="dxa"/>
          </w:tblCellMar>
        </w:tblPrEx>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角色管理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定义和管理不同角色，不同不同角色分配不同权限，比如引流权限、批量加好友权限等等</w:t>
            </w:r>
          </w:p>
        </w:tc>
      </w:tr>
      <w:tr>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部门（机构）管理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分配成员所属部门，对部门进行管理，涉及到三端</w:t>
            </w:r>
            <w:r>
              <w:rPr>
                <w:rStyle w:val="59"/>
                <w:rFonts w:hint="eastAsia" w:cs="仿宋" w:asciiTheme="minorEastAsia" w:hAnsiTheme="minorEastAsia" w:eastAsiaTheme="minorEastAsia"/>
                <w:color w:val="auto"/>
                <w:sz w:val="22"/>
                <w:szCs w:val="22"/>
              </w:rPr>
              <w:t>(</w:t>
            </w:r>
            <w:r>
              <w:rPr>
                <w:rStyle w:val="58"/>
                <w:rFonts w:hint="eastAsia" w:cs="仿宋" w:asciiTheme="minorEastAsia" w:hAnsiTheme="minorEastAsia" w:eastAsiaTheme="minorEastAsia"/>
                <w:color w:val="auto"/>
                <w:sz w:val="22"/>
                <w:szCs w:val="22"/>
              </w:rPr>
              <w:t>系统、企微模块、企微端</w:t>
            </w:r>
            <w:r>
              <w:rPr>
                <w:rStyle w:val="59"/>
                <w:rFonts w:hint="eastAsia" w:cs="仿宋" w:asciiTheme="minorEastAsia" w:hAnsiTheme="minorEastAsia" w:eastAsiaTheme="minorEastAsia"/>
                <w:color w:val="auto"/>
                <w:sz w:val="22"/>
                <w:szCs w:val="22"/>
              </w:rPr>
              <w:t>)</w:t>
            </w:r>
            <w:r>
              <w:rPr>
                <w:rStyle w:val="58"/>
                <w:rFonts w:hint="eastAsia" w:cs="仿宋" w:asciiTheme="minorEastAsia" w:hAnsiTheme="minorEastAsia" w:eastAsiaTheme="minorEastAsia"/>
                <w:color w:val="auto"/>
                <w:sz w:val="22"/>
                <w:szCs w:val="22"/>
              </w:rPr>
              <w:t>数据同步</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重置密码</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用户进行登录密码重置</w:t>
            </w:r>
          </w:p>
        </w:tc>
      </w:tr>
      <w:tr>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操作日志查询</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查询用户操作记录</w:t>
            </w:r>
          </w:p>
        </w:tc>
      </w:tr>
      <w:tr>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7</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客户管理</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同步企业微信客户信息，按照条件（客户属性，群聊属性）查询客户，客户认证管理</w:t>
            </w:r>
          </w:p>
        </w:tc>
      </w:tr>
      <w:tr>
        <w:trPr>
          <w:trHeight w:val="11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客户添加</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指定RM拓展活码，为多个客户经理生成统一二维码，客户扫码随机分配其中客户经理添加，支持配置欢迎语、渠道标签，进行来源统计。</w:t>
            </w:r>
          </w:p>
        </w:tc>
      </w:tr>
      <w:tr>
        <w:trPr>
          <w:trHeight w:val="15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通过系统对接导入的方式，将行内crm系统管护信息导入企微系统，推送相关的客户信息给到对应客户经理企微上，客户经理通过收到的信息主动添加客户</w:t>
            </w:r>
          </w:p>
        </w:tc>
      </w:tr>
      <w:tr>
        <w:trPr>
          <w:trHeight w:val="11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客户认证</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通过数据自动回传、匹配微信银行绑定用户微信号等方式，完成好友客户自动认证，实现微信生态与行方系统内客户身份统一</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主动/被动完善客户信息等方式完成客户认证</w:t>
            </w:r>
          </w:p>
        </w:tc>
      </w:tr>
      <w:tr>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后台可手动匹配客户，及已认证客户的调整、解绑等</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客户资料</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增删改客户属性，有权限的客户经理可自定义字段</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客户标签</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增删改查企业级标签、标签组</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客户流失管理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设置提醒参数</w:t>
            </w:r>
          </w:p>
        </w:tc>
      </w:tr>
      <w:tr>
        <w:tblPrEx>
          <w:tblCellMar>
            <w:top w:w="0" w:type="dxa"/>
            <w:left w:w="108" w:type="dxa"/>
            <w:bottom w:w="0" w:type="dxa"/>
            <w:right w:w="108" w:type="dxa"/>
          </w:tblCellMar>
        </w:tblPrEx>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16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查询展示删除客户及未交流客户信息，并设置提醒对应员工</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在职继承</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在职员工之间进行客户平移</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离职继承</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员工离职后，对该员工名下客户进行平移</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19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黑名单</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黑名单客户查看及恢复</w:t>
            </w:r>
          </w:p>
        </w:tc>
      </w:tr>
      <w:tr>
        <w:tblPrEx>
          <w:tblCellMar>
            <w:top w:w="0" w:type="dxa"/>
            <w:left w:w="108" w:type="dxa"/>
            <w:bottom w:w="0" w:type="dxa"/>
            <w:right w:w="108" w:type="dxa"/>
          </w:tblCellMar>
        </w:tblPrEx>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20</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客群管理</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客群管理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同步企业微信客户群信息，查询群成员，统计群日增成员、日退成员、当前成员、累计退群成员数量</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自动拉群</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增删改查拉群信息，及下载拉群二维码</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群聊质检</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群聊质检规则设置</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23</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企业风控</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敏感词库</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敏感词触发提醒，及触发踢人等操作，为行为监督</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消息存档</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同步企业微信消息内容，检索查询聊天内容</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敏感监控</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监控敏感词触发情况，查看触发对话详情</w:t>
            </w:r>
          </w:p>
        </w:tc>
      </w:tr>
      <w:tr>
        <w:trPr>
          <w:trHeight w:val="11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26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可以根据群行为和群关键词（违规词，商机词）设置提醒规则，当客户群中的触发相关规则后将会发送消息通知给对应的群主进行处理</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27</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客户转化</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欢迎语</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设置员工好友添加的欢迎语</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话术库</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话术分组管理，及话术的增删改</w:t>
            </w:r>
          </w:p>
        </w:tc>
      </w:tr>
      <w:tr>
        <w:tblPrEx>
          <w:tblCellMar>
            <w:top w:w="0" w:type="dxa"/>
            <w:left w:w="108" w:type="dxa"/>
            <w:bottom w:w="0" w:type="dxa"/>
            <w:right w:w="108" w:type="dxa"/>
          </w:tblCellMar>
        </w:tblPrEx>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29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营销素材</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支持素材分组，支持素材属性支持文章、链接、海报、</w:t>
            </w:r>
            <w:r>
              <w:rPr>
                <w:rStyle w:val="59"/>
                <w:rFonts w:hint="eastAsia" w:cs="仿宋" w:asciiTheme="minorEastAsia" w:hAnsiTheme="minorEastAsia" w:eastAsiaTheme="minorEastAsia"/>
                <w:color w:val="auto"/>
                <w:sz w:val="22"/>
                <w:szCs w:val="22"/>
              </w:rPr>
              <w:t>PPT</w:t>
            </w:r>
            <w:r>
              <w:rPr>
                <w:rStyle w:val="58"/>
                <w:rFonts w:hint="eastAsia" w:cs="仿宋" w:asciiTheme="minorEastAsia" w:hAnsiTheme="minorEastAsia" w:eastAsiaTheme="minorEastAsia"/>
                <w:color w:val="auto"/>
                <w:sz w:val="22"/>
                <w:szCs w:val="22"/>
              </w:rPr>
              <w:t>、</w:t>
            </w:r>
            <w:r>
              <w:rPr>
                <w:rStyle w:val="59"/>
                <w:rFonts w:hint="eastAsia" w:cs="仿宋" w:asciiTheme="minorEastAsia" w:hAnsiTheme="minorEastAsia" w:eastAsiaTheme="minorEastAsia"/>
                <w:color w:val="auto"/>
                <w:sz w:val="22"/>
                <w:szCs w:val="22"/>
              </w:rPr>
              <w:t>PDF</w:t>
            </w:r>
            <w:r>
              <w:rPr>
                <w:rStyle w:val="58"/>
                <w:rFonts w:hint="eastAsia" w:cs="仿宋" w:asciiTheme="minorEastAsia" w:hAnsiTheme="minorEastAsia" w:eastAsiaTheme="minorEastAsia"/>
                <w:color w:val="auto"/>
                <w:sz w:val="22"/>
                <w:szCs w:val="22"/>
              </w:rPr>
              <w:t>、表格、文档</w:t>
            </w:r>
          </w:p>
        </w:tc>
      </w:tr>
      <w:tr>
        <w:tblPrEx>
          <w:tblCellMar>
            <w:top w:w="0" w:type="dxa"/>
            <w:left w:w="108" w:type="dxa"/>
            <w:bottom w:w="0" w:type="dxa"/>
            <w:right w:w="108" w:type="dxa"/>
          </w:tblCellMar>
        </w:tblPrEx>
        <w:trPr>
          <w:trHeight w:val="11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互动雷达</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客户点击了员工发送的资料（链接、图片或文件等）时，给员工发送提醒，提醒员工跟进客户，并将客户的打开行为记录在客户动态中。</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海报管理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运营海报及分组创建，查询管理</w:t>
            </w:r>
          </w:p>
        </w:tc>
      </w:tr>
      <w:tr>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32</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小店管理</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产品管理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从行内系统查询金融产品（存款、基金、理财、贷款、贵金属、信托等等）</w:t>
            </w:r>
            <w:r>
              <w:rPr>
                <w:rStyle w:val="59"/>
                <w:rFonts w:hint="eastAsia" w:cs="仿宋" w:asciiTheme="minorEastAsia" w:hAnsiTheme="minorEastAsia" w:eastAsiaTheme="minorEastAsia"/>
                <w:color w:val="auto"/>
                <w:sz w:val="22"/>
                <w:szCs w:val="22"/>
              </w:rPr>
              <w:t>;</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33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新增、修改、查看产品，设置产品上下架</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活动管理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活动配置及审批</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资讯管理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早报资讯信息管理</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展示管理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设置小店展示顺序</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37</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系统管理</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任务管理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批量任务设置管理</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任务日志</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批量任务执行日志</w:t>
            </w:r>
          </w:p>
        </w:tc>
      </w:tr>
      <w:tr>
        <w:trPr>
          <w:trHeight w:val="15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39</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运营管理</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客户统计</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统计昨日客户增长数据，分时段统计客户总数、新增客户数、流失客户数净增客户数趋势图；按日统计客户总数、新增客户数、流失客户数，并支持</w:t>
            </w:r>
            <w:r>
              <w:rPr>
                <w:rStyle w:val="59"/>
                <w:rFonts w:hint="eastAsia" w:cs="仿宋" w:asciiTheme="minorEastAsia" w:hAnsiTheme="minorEastAsia" w:eastAsiaTheme="minorEastAsia"/>
                <w:color w:val="auto"/>
                <w:sz w:val="22"/>
                <w:szCs w:val="22"/>
              </w:rPr>
              <w:t>excel</w:t>
            </w:r>
            <w:r>
              <w:rPr>
                <w:rStyle w:val="58"/>
                <w:rFonts w:hint="eastAsia" w:cs="仿宋" w:asciiTheme="minorEastAsia" w:hAnsiTheme="minorEastAsia" w:eastAsiaTheme="minorEastAsia"/>
                <w:color w:val="auto"/>
                <w:sz w:val="22"/>
                <w:szCs w:val="22"/>
              </w:rPr>
              <w:t>导出</w:t>
            </w:r>
          </w:p>
        </w:tc>
      </w:tr>
      <w:tr>
        <w:tblPrEx>
          <w:tblCellMar>
            <w:top w:w="0" w:type="dxa"/>
            <w:left w:w="108" w:type="dxa"/>
            <w:bottom w:w="0" w:type="dxa"/>
            <w:right w:w="108" w:type="dxa"/>
          </w:tblCellMar>
        </w:tblPrEx>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群发记录</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查看个人群发及个人群群发数据记录，并查看数据详情</w:t>
            </w:r>
          </w:p>
        </w:tc>
      </w:tr>
      <w:tr>
        <w:tblPrEx>
          <w:tblCellMar>
            <w:top w:w="0" w:type="dxa"/>
            <w:left w:w="108" w:type="dxa"/>
            <w:bottom w:w="0" w:type="dxa"/>
            <w:right w:w="108" w:type="dxa"/>
          </w:tblCellMar>
        </w:tblPrEx>
        <w:trPr>
          <w:trHeight w:val="15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成员统计</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分时间统计成员联系客户聊天总条数、发送消息条数、已回复聊天占比、平均首次回复时长数据；查看趋势图；按日或者按员工统计数据；统计成员联系客户</w:t>
            </w:r>
            <w:r>
              <w:rPr>
                <w:rStyle w:val="59"/>
                <w:rFonts w:hint="eastAsia" w:cs="仿宋" w:asciiTheme="minorEastAsia" w:hAnsiTheme="minorEastAsia" w:eastAsiaTheme="minorEastAsia"/>
                <w:color w:val="auto"/>
                <w:sz w:val="22"/>
                <w:szCs w:val="22"/>
              </w:rPr>
              <w:t>top10</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朋友圈</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设置发布朋友圈任务；</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审批朋友圈任务；</w:t>
            </w:r>
          </w:p>
        </w:tc>
      </w:tr>
      <w:tr>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查看朋友圈任务完成度及朋友圈信息、客户点赞、评论情况</w:t>
            </w:r>
          </w:p>
        </w:tc>
      </w:tr>
      <w:tr>
        <w:tblPrEx>
          <w:tblCellMar>
            <w:top w:w="0" w:type="dxa"/>
            <w:left w:w="108" w:type="dxa"/>
            <w:bottom w:w="0" w:type="dxa"/>
            <w:right w:w="108" w:type="dxa"/>
          </w:tblCellMar>
        </w:tblPrEx>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任务管理</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创建任务，发布任务、通知及产品信息到内部群聊，补全企业内各机构消息不同步问题</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数据订阅</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设置日报、周报数据推送时间，及推送开关</w:t>
            </w:r>
          </w:p>
        </w:tc>
      </w:tr>
      <w:tr>
        <w:tblPrEx>
          <w:tblCellMar>
            <w:top w:w="0" w:type="dxa"/>
            <w:left w:w="108" w:type="dxa"/>
            <w:bottom w:w="0" w:type="dxa"/>
            <w:right w:w="108" w:type="dxa"/>
          </w:tblCellMar>
        </w:tblPrEx>
        <w:trPr>
          <w:trHeight w:val="7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渠道活码</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可用多个客服号创建带参数的客服码进行分流，可以分时段设置客服员工、设置欢迎语。</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48</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数据统计</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流量数据</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客户访问数据分析</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49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产品数据</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产品访问数据分析</w:t>
            </w:r>
          </w:p>
        </w:tc>
      </w:tr>
      <w:tr>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50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页面分析</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客户页面停留信息分析</w:t>
            </w:r>
          </w:p>
        </w:tc>
      </w:tr>
      <w:tr>
        <w:tblPrEx>
          <w:tblCellMar>
            <w:top w:w="0" w:type="dxa"/>
            <w:left w:w="108" w:type="dxa"/>
            <w:bottom w:w="0" w:type="dxa"/>
            <w:right w:w="108" w:type="dxa"/>
          </w:tblCellMar>
        </w:tblPrEx>
        <w:trPr>
          <w:trHeight w:val="3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kern w:val="0"/>
                <w:sz w:val="22"/>
                <w:szCs w:val="22"/>
              </w:rPr>
              <w:t>51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auto"/>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数据看板</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auto"/>
                <w:sz w:val="22"/>
                <w:szCs w:val="22"/>
              </w:rPr>
            </w:pPr>
            <w:r>
              <w:rPr>
                <w:rStyle w:val="58"/>
                <w:rFonts w:hint="eastAsia" w:cs="仿宋" w:asciiTheme="minorEastAsia" w:hAnsiTheme="minorEastAsia" w:eastAsiaTheme="minorEastAsia"/>
                <w:color w:val="auto"/>
                <w:sz w:val="22"/>
                <w:szCs w:val="22"/>
              </w:rPr>
              <w:t>根据不同角色展示相关联统计数据</w:t>
            </w:r>
          </w:p>
        </w:tc>
      </w:tr>
    </w:tbl>
    <w:p>
      <w:pPr>
        <w:pStyle w:val="9"/>
        <w:numPr>
          <w:ilvl w:val="0"/>
          <w:numId w:val="4"/>
        </w:numPr>
        <w:rPr>
          <w:color w:val="auto"/>
        </w:rPr>
      </w:pPr>
      <w:r>
        <w:rPr>
          <w:rFonts w:hint="eastAsia"/>
          <w:color w:val="auto"/>
        </w:rPr>
        <w:t>企业微信客户容量及认证</w:t>
      </w:r>
    </w:p>
    <w:p>
      <w:pPr>
        <w:pStyle w:val="10"/>
        <w:numPr>
          <w:ilvl w:val="0"/>
          <w:numId w:val="0"/>
        </w:numPr>
        <w:spacing w:before="120" w:after="120"/>
        <w:rPr>
          <w:color w:val="auto"/>
        </w:rPr>
      </w:pPr>
      <w:r>
        <w:rPr>
          <w:rFonts w:hint="eastAsia"/>
          <w:color w:val="auto"/>
        </w:rPr>
        <w:t>14.1企业微信客户容量</w:t>
      </w:r>
    </w:p>
    <w:p>
      <w:pPr>
        <w:widowControl/>
        <w:jc w:val="left"/>
        <w:rPr>
          <w:rFonts w:ascii="宋体" w:hAnsi="宋体" w:cs="宋体"/>
          <w:color w:val="auto"/>
          <w:kern w:val="0"/>
          <w:szCs w:val="21"/>
        </w:rPr>
      </w:pPr>
      <w:r>
        <w:rPr>
          <w:rFonts w:hint="eastAsia" w:ascii="宋体" w:hAnsi="宋体" w:cs="宋体"/>
          <w:color w:val="auto"/>
          <w:kern w:val="0"/>
          <w:szCs w:val="21"/>
        </w:rPr>
        <w:t xml:space="preserve">    本项目涵盖四川天府银行在企业微信端的外部联系人规模三年费用，企业微信本地化部署后，第一年和第二年外部联系人规模预估为50万户、第三年预估为100万户。</w:t>
      </w:r>
    </w:p>
    <w:p>
      <w:pPr>
        <w:pStyle w:val="10"/>
        <w:numPr>
          <w:ilvl w:val="0"/>
          <w:numId w:val="0"/>
        </w:numPr>
        <w:spacing w:before="120" w:after="120"/>
        <w:rPr>
          <w:color w:val="auto"/>
        </w:rPr>
      </w:pPr>
      <w:r>
        <w:rPr>
          <w:rFonts w:hint="eastAsia"/>
          <w:color w:val="auto"/>
        </w:rPr>
        <w:t>14.2企业认证</w:t>
      </w:r>
    </w:p>
    <w:p>
      <w:pPr>
        <w:widowControl/>
        <w:jc w:val="left"/>
        <w:rPr>
          <w:rFonts w:ascii="宋体" w:hAnsi="宋体" w:cs="宋体"/>
          <w:color w:val="auto"/>
          <w:kern w:val="0"/>
          <w:szCs w:val="21"/>
        </w:rPr>
      </w:pPr>
      <w:r>
        <w:rPr>
          <w:rFonts w:hint="eastAsia" w:ascii="宋体" w:hAnsi="宋体" w:cs="宋体"/>
          <w:color w:val="auto"/>
          <w:kern w:val="0"/>
          <w:szCs w:val="21"/>
        </w:rPr>
        <w:t xml:space="preserve">    本项目涵盖企业微信本地化部署后三年内四川天府银行企业微信认证。</w:t>
      </w:r>
    </w:p>
    <w:p>
      <w:pPr>
        <w:pStyle w:val="2"/>
        <w:rPr>
          <w:color w:val="auto"/>
        </w:rPr>
      </w:pPr>
    </w:p>
    <w:p>
      <w:pPr>
        <w:pStyle w:val="9"/>
        <w:numPr>
          <w:ilvl w:val="0"/>
          <w:numId w:val="4"/>
        </w:numPr>
        <w:rPr>
          <w:color w:val="auto"/>
        </w:rPr>
      </w:pPr>
      <w:r>
        <w:rPr>
          <w:rFonts w:hint="eastAsia"/>
          <w:color w:val="auto"/>
        </w:rPr>
        <w:t>技术要求</w:t>
      </w:r>
    </w:p>
    <w:p>
      <w:pPr>
        <w:pStyle w:val="10"/>
        <w:numPr>
          <w:ilvl w:val="0"/>
          <w:numId w:val="0"/>
        </w:numPr>
        <w:spacing w:before="120" w:after="120"/>
        <w:rPr>
          <w:color w:val="auto"/>
        </w:rPr>
      </w:pPr>
      <w:r>
        <w:rPr>
          <w:rFonts w:hint="eastAsia"/>
          <w:color w:val="auto"/>
        </w:rPr>
        <w:t>15.1产品私有化部署</w:t>
      </w:r>
    </w:p>
    <w:p>
      <w:pPr>
        <w:widowControl/>
        <w:jc w:val="left"/>
        <w:rPr>
          <w:rFonts w:ascii="宋体" w:hAnsi="宋体" w:cs="宋体"/>
          <w:color w:val="auto"/>
          <w:kern w:val="0"/>
          <w:szCs w:val="21"/>
        </w:rPr>
      </w:pPr>
      <w:r>
        <w:rPr>
          <w:rFonts w:hint="eastAsia" w:ascii="宋体" w:hAnsi="宋体" w:cs="宋体"/>
          <w:color w:val="auto"/>
          <w:kern w:val="0"/>
          <w:szCs w:val="21"/>
        </w:rPr>
        <w:t xml:space="preserve">    对于本项目所使用的企业微信平台系统产品，投标方须按照行内要求进行私有化部署，服务、数据均在行内分配空间部署，无license使用限制，且产品部署灵活，支持国产化部署，需根据行内要求进行调整。验收后，需组织进行相关培训，便于后续应用落地。</w:t>
      </w:r>
    </w:p>
    <w:p>
      <w:pPr>
        <w:pStyle w:val="10"/>
        <w:numPr>
          <w:ilvl w:val="0"/>
          <w:numId w:val="0"/>
        </w:numPr>
        <w:spacing w:before="120" w:after="120"/>
        <w:rPr>
          <w:color w:val="auto"/>
        </w:rPr>
      </w:pPr>
      <w:r>
        <w:rPr>
          <w:rFonts w:hint="eastAsia"/>
          <w:color w:val="auto"/>
        </w:rPr>
        <w:t>15.2产品授权要求</w:t>
      </w:r>
    </w:p>
    <w:p>
      <w:pPr>
        <w:widowControl/>
        <w:jc w:val="left"/>
        <w:rPr>
          <w:rFonts w:ascii="宋体" w:hAnsi="宋体" w:cs="宋体"/>
          <w:color w:val="auto"/>
          <w:kern w:val="0"/>
          <w:szCs w:val="21"/>
        </w:rPr>
      </w:pPr>
      <w:r>
        <w:rPr>
          <w:rFonts w:hint="eastAsia" w:ascii="宋体" w:hAnsi="宋体" w:cs="宋体"/>
          <w:color w:val="auto"/>
          <w:kern w:val="0"/>
          <w:szCs w:val="21"/>
        </w:rPr>
        <w:t xml:space="preserve">    对于本项目所使用的企业微信平台系统产品，投标方须具有调度产品软件著作权证书或原厂商授权书，四川天府银行有权在本项目范围内自助使用该产品，保证无法律纠纷。</w:t>
      </w:r>
    </w:p>
    <w:p>
      <w:pPr>
        <w:pStyle w:val="10"/>
        <w:numPr>
          <w:ilvl w:val="0"/>
          <w:numId w:val="0"/>
        </w:numPr>
        <w:spacing w:before="120" w:after="120"/>
        <w:rPr>
          <w:color w:val="auto"/>
        </w:rPr>
      </w:pPr>
      <w:r>
        <w:rPr>
          <w:rFonts w:hint="eastAsia"/>
          <w:color w:val="auto"/>
        </w:rPr>
        <w:t>15.3系统功能要求</w:t>
      </w:r>
    </w:p>
    <w:p>
      <w:pPr>
        <w:widowControl/>
        <w:jc w:val="left"/>
        <w:rPr>
          <w:rFonts w:ascii="宋体" w:hAnsi="宋体" w:cs="宋体"/>
          <w:color w:val="auto"/>
          <w:kern w:val="0"/>
          <w:szCs w:val="21"/>
        </w:rPr>
      </w:pPr>
      <w:r>
        <w:rPr>
          <w:rFonts w:hint="eastAsia" w:ascii="宋体" w:hAnsi="宋体" w:cs="宋体"/>
          <w:color w:val="auto"/>
          <w:kern w:val="0"/>
          <w:szCs w:val="21"/>
        </w:rPr>
        <w:t xml:space="preserve">    （1）响应时间</w:t>
      </w:r>
    </w:p>
    <w:p>
      <w:pPr>
        <w:pStyle w:val="2"/>
        <w:rPr>
          <w:color w:val="auto"/>
        </w:rPr>
      </w:pPr>
      <w:r>
        <w:rPr>
          <w:rFonts w:hint="eastAsia"/>
          <w:color w:val="auto"/>
        </w:rPr>
        <w:t xml:space="preserve">    系统应提供与四川天府银行客户及用户数量相适应的业务处理能力，并根据业务发展状况，提供持续调整优化方案，系统主要性能指标如下：</w:t>
      </w:r>
    </w:p>
    <w:p>
      <w:pPr>
        <w:pStyle w:val="2"/>
        <w:rPr>
          <w:color w:val="auto"/>
        </w:rPr>
      </w:pPr>
      <w:r>
        <w:rPr>
          <w:rFonts w:hint="eastAsia"/>
          <w:color w:val="auto"/>
        </w:rPr>
        <w:t xml:space="preserve">    能够满足互联网高并发访问的要求，支持数千级用户的使用，可以根据业务动态伸缩调整。</w:t>
      </w:r>
    </w:p>
    <w:p>
      <w:pPr>
        <w:pStyle w:val="2"/>
        <w:rPr>
          <w:color w:val="auto"/>
        </w:rPr>
      </w:pPr>
      <w:r>
        <w:rPr>
          <w:rFonts w:hint="eastAsia"/>
          <w:color w:val="auto"/>
        </w:rPr>
        <w:t xml:space="preserve">    系统的软硬件设备具有可扩展性，应具备逐步升级的能力，保证业务的可扩展性和可持续性，能提供成熟有效的性能扩展方案。</w:t>
      </w:r>
    </w:p>
    <w:p>
      <w:pPr>
        <w:pStyle w:val="2"/>
        <w:rPr>
          <w:color w:val="auto"/>
        </w:rPr>
      </w:pPr>
      <w:r>
        <w:rPr>
          <w:rFonts w:hint="eastAsia"/>
          <w:color w:val="auto"/>
        </w:rPr>
        <w:t xml:space="preserve">    支持分布式架构，并可在未来通过增加节点的方式实现横向扩展。</w:t>
      </w:r>
    </w:p>
    <w:p>
      <w:pPr>
        <w:widowControl/>
        <w:jc w:val="left"/>
        <w:rPr>
          <w:rFonts w:ascii="宋体" w:hAnsi="宋体" w:cs="宋体"/>
          <w:color w:val="auto"/>
          <w:kern w:val="0"/>
          <w:szCs w:val="21"/>
        </w:rPr>
      </w:pPr>
      <w:r>
        <w:rPr>
          <w:rFonts w:hint="eastAsia" w:ascii="宋体" w:hAnsi="宋体" w:cs="宋体"/>
          <w:color w:val="auto"/>
          <w:kern w:val="0"/>
          <w:szCs w:val="21"/>
        </w:rPr>
        <w:t xml:space="preserve">    （2）稳定性要求</w:t>
      </w:r>
    </w:p>
    <w:p>
      <w:pPr>
        <w:pStyle w:val="5"/>
        <w:rPr>
          <w:color w:val="auto"/>
          <w:kern w:val="2"/>
          <w:sz w:val="21"/>
        </w:rPr>
      </w:pPr>
      <w:r>
        <w:rPr>
          <w:rFonts w:hint="eastAsia"/>
          <w:color w:val="auto"/>
          <w:kern w:val="2"/>
          <w:sz w:val="21"/>
        </w:rPr>
        <w:t xml:space="preserve">    系统能够保证7 x 24稳定运行，全年系统可用率应达到99.9%以上。</w:t>
      </w:r>
    </w:p>
    <w:p>
      <w:pPr>
        <w:pStyle w:val="5"/>
        <w:rPr>
          <w:color w:val="auto"/>
          <w:kern w:val="2"/>
          <w:sz w:val="21"/>
        </w:rPr>
      </w:pPr>
      <w:r>
        <w:rPr>
          <w:rFonts w:hint="eastAsia"/>
          <w:color w:val="auto"/>
          <w:kern w:val="2"/>
          <w:sz w:val="21"/>
        </w:rPr>
        <w:t xml:space="preserve">    系统投产后以负载均衡模式运行，系统扩展时不能影响现有业务的执行。</w:t>
      </w:r>
    </w:p>
    <w:p>
      <w:pPr>
        <w:pStyle w:val="5"/>
        <w:rPr>
          <w:color w:val="auto"/>
          <w:kern w:val="2"/>
          <w:sz w:val="21"/>
        </w:rPr>
      </w:pPr>
      <w:r>
        <w:rPr>
          <w:rFonts w:hint="eastAsia"/>
          <w:color w:val="auto"/>
          <w:kern w:val="2"/>
          <w:sz w:val="21"/>
        </w:rPr>
        <w:t xml:space="preserve">    系统响应时间支持页面响应时间应在1-3秒内；C端用户活动H5访问满足并发量不低于2000tps的要求，可扩容支持更高活动并发量要求，支持不间断服务：00:00-24:00，应用能够支持不间断业务情况下进行系统升级，全年意外停机时长不超过8小时。</w:t>
      </w:r>
    </w:p>
    <w:p>
      <w:pPr>
        <w:pStyle w:val="5"/>
        <w:rPr>
          <w:color w:val="auto"/>
          <w:kern w:val="2"/>
          <w:sz w:val="21"/>
        </w:rPr>
      </w:pPr>
      <w:r>
        <w:rPr>
          <w:rFonts w:hint="eastAsia"/>
          <w:color w:val="auto"/>
          <w:kern w:val="2"/>
          <w:sz w:val="21"/>
        </w:rPr>
        <w:t xml:space="preserve">    面对可能发生的故障（硬件故障、软件故障及网络异常等），要求系统采用适合的部署方式，不允许因为系统故障和故障恢复过程而中断系统服务的提供。</w:t>
      </w:r>
    </w:p>
    <w:p>
      <w:pPr>
        <w:pStyle w:val="5"/>
        <w:rPr>
          <w:color w:val="auto"/>
          <w:kern w:val="2"/>
          <w:sz w:val="21"/>
        </w:rPr>
      </w:pPr>
      <w:r>
        <w:rPr>
          <w:rFonts w:hint="eastAsia"/>
          <w:color w:val="auto"/>
          <w:kern w:val="2"/>
          <w:sz w:val="21"/>
        </w:rPr>
        <w:t xml:space="preserve">    应用系统使用集群方式、多节点分布式部署，出现故障能够在15分钟内进行恢复。数据库服务器采用集群方式，出现故障15分钟以内恢复。</w:t>
      </w:r>
    </w:p>
    <w:p>
      <w:pPr>
        <w:pStyle w:val="6"/>
        <w:rPr>
          <w:color w:val="auto"/>
          <w:sz w:val="21"/>
          <w:szCs w:val="21"/>
        </w:rPr>
      </w:pPr>
      <w:r>
        <w:rPr>
          <w:rFonts w:hint="eastAsia"/>
          <w:color w:val="auto"/>
          <w:sz w:val="21"/>
          <w:szCs w:val="21"/>
        </w:rPr>
        <w:t xml:space="preserve">    （3）扩展性要求</w:t>
      </w:r>
    </w:p>
    <w:p>
      <w:pPr>
        <w:pStyle w:val="6"/>
        <w:rPr>
          <w:color w:val="auto"/>
          <w:sz w:val="21"/>
          <w:szCs w:val="21"/>
        </w:rPr>
      </w:pPr>
      <w:r>
        <w:rPr>
          <w:rFonts w:hint="eastAsia"/>
          <w:color w:val="auto"/>
          <w:sz w:val="21"/>
          <w:szCs w:val="21"/>
        </w:rPr>
        <w:t xml:space="preserve">    软件设计选型支持应用级横向扩展和服务级横向扩展，应用级横向扩展是指设计时使用可扩充的集群技术，当初始配置处理能力达到饱和能够横向扩充，提升系统处理能力；服务级横向扩展是指设计时使用多服务进程或线程技术，当初始配置处理能力达到饱和能够通过增加服务数量，提升系统的处理能力。</w:t>
      </w:r>
    </w:p>
    <w:p>
      <w:pPr>
        <w:pStyle w:val="6"/>
        <w:rPr>
          <w:color w:val="auto"/>
          <w:sz w:val="21"/>
          <w:szCs w:val="21"/>
        </w:rPr>
      </w:pPr>
      <w:r>
        <w:rPr>
          <w:rFonts w:hint="eastAsia"/>
          <w:color w:val="auto"/>
          <w:sz w:val="21"/>
          <w:szCs w:val="21"/>
        </w:rPr>
        <w:t xml:space="preserve">    《投标文件》中说明软件项目为满足可扩展性需求的技术设计实现方案。</w:t>
      </w:r>
    </w:p>
    <w:p>
      <w:pPr>
        <w:pStyle w:val="6"/>
        <w:rPr>
          <w:color w:val="auto"/>
          <w:sz w:val="21"/>
          <w:szCs w:val="21"/>
        </w:rPr>
      </w:pPr>
      <w:r>
        <w:rPr>
          <w:rFonts w:hint="eastAsia"/>
          <w:color w:val="auto"/>
          <w:sz w:val="21"/>
          <w:szCs w:val="21"/>
        </w:rPr>
        <w:t xml:space="preserve">    项目阶段交付物《系统详细设计说明书》中清晰描述为满足该需求系统设计上如何实现的解决方案。</w:t>
      </w:r>
    </w:p>
    <w:p>
      <w:pPr>
        <w:pStyle w:val="10"/>
        <w:numPr>
          <w:ilvl w:val="0"/>
          <w:numId w:val="0"/>
        </w:numPr>
        <w:spacing w:before="120" w:after="120"/>
        <w:rPr>
          <w:color w:val="auto"/>
        </w:rPr>
      </w:pPr>
      <w:r>
        <w:rPr>
          <w:rFonts w:hint="eastAsia"/>
          <w:color w:val="auto"/>
        </w:rPr>
        <w:t>15.4安全性技术要求</w:t>
      </w:r>
    </w:p>
    <w:p>
      <w:pPr>
        <w:widowControl/>
        <w:jc w:val="left"/>
        <w:rPr>
          <w:rFonts w:ascii="宋体" w:hAnsi="宋体" w:cs="宋体"/>
          <w:color w:val="auto"/>
          <w:kern w:val="0"/>
          <w:szCs w:val="21"/>
        </w:rPr>
      </w:pPr>
      <w:r>
        <w:rPr>
          <w:rFonts w:hint="eastAsia"/>
          <w:color w:val="auto"/>
        </w:rPr>
        <w:t xml:space="preserve">    系统须符合我行及监管相关安全管控要求，应按等级保护三级标准设计相关安全功能，包括但不限于以下内容：</w:t>
      </w:r>
    </w:p>
    <w:p>
      <w:pPr>
        <w:pStyle w:val="2"/>
        <w:rPr>
          <w:color w:val="auto"/>
        </w:rPr>
      </w:pPr>
      <w:r>
        <w:rPr>
          <w:rFonts w:hint="eastAsia"/>
          <w:color w:val="auto"/>
        </w:rPr>
        <w:t xml:space="preserve">    （1）数据保密性保障</w:t>
      </w:r>
    </w:p>
    <w:p>
      <w:pPr>
        <w:pStyle w:val="2"/>
        <w:rPr>
          <w:color w:val="auto"/>
        </w:rPr>
      </w:pPr>
      <w:r>
        <w:rPr>
          <w:rFonts w:hint="eastAsia"/>
          <w:color w:val="auto"/>
        </w:rPr>
        <w:t xml:space="preserve">    须确保所有涉及客户和业务的数据均严格遵循国家相关法律法规及行业标准进行保密处理，数据在传输和存储过程中应使用加密技术，保证数据的安全性。</w:t>
      </w:r>
    </w:p>
    <w:p>
      <w:pPr>
        <w:pStyle w:val="2"/>
        <w:rPr>
          <w:color w:val="auto"/>
        </w:rPr>
      </w:pPr>
      <w:r>
        <w:rPr>
          <w:rFonts w:hint="eastAsia"/>
          <w:color w:val="auto"/>
        </w:rPr>
        <w:t xml:space="preserve">    （2）数据完整性维护</w:t>
      </w:r>
    </w:p>
    <w:p>
      <w:pPr>
        <w:pStyle w:val="2"/>
        <w:rPr>
          <w:color w:val="auto"/>
        </w:rPr>
      </w:pPr>
      <w:r>
        <w:rPr>
          <w:rFonts w:hint="eastAsia"/>
          <w:color w:val="auto"/>
        </w:rPr>
        <w:t xml:space="preserve">    应提供完善的数据完整性保护机制，防止数据被非法篡改或损，应实施数据校验、备份及恢复流程，确保数据的安全性。</w:t>
      </w:r>
    </w:p>
    <w:p>
      <w:pPr>
        <w:pStyle w:val="2"/>
        <w:rPr>
          <w:color w:val="auto"/>
        </w:rPr>
      </w:pPr>
      <w:r>
        <w:rPr>
          <w:rFonts w:hint="eastAsia"/>
          <w:color w:val="auto"/>
        </w:rPr>
        <w:t xml:space="preserve">    （3）数据传输安全策略</w:t>
      </w:r>
    </w:p>
    <w:p>
      <w:pPr>
        <w:pStyle w:val="2"/>
        <w:rPr>
          <w:color w:val="auto"/>
        </w:rPr>
      </w:pPr>
      <w:r>
        <w:rPr>
          <w:rFonts w:hint="eastAsia"/>
          <w:color w:val="auto"/>
        </w:rPr>
        <w:t xml:space="preserve">    系统应具备高度的安全性和隐私保护能力，包括数据加密、身份认证、访问控制等。传输数据需进行加密保护，保证信息传输的机密性、完整性，有效防止信息篡改，避免信息泄露。要求系统前端与后台服务端之间的传输数据进行安全加密保护。支持通过国密算法实现客户敏感信息加密传输、全报文进行加解密或加签验签，遵照《信息安全技术个人信息安全规范》（GB/T 35273-2017）》、《中华人民共和国网络安全法》要求执行。</w:t>
      </w:r>
    </w:p>
    <w:p>
      <w:pPr>
        <w:pStyle w:val="2"/>
        <w:rPr>
          <w:color w:val="auto"/>
        </w:rPr>
      </w:pPr>
      <w:r>
        <w:rPr>
          <w:rFonts w:hint="eastAsia"/>
          <w:color w:val="auto"/>
        </w:rPr>
        <w:t xml:space="preserve">    （4）安全审计机制</w:t>
      </w:r>
    </w:p>
    <w:p>
      <w:pPr>
        <w:pStyle w:val="2"/>
        <w:rPr>
          <w:color w:val="auto"/>
        </w:rPr>
      </w:pPr>
      <w:r>
        <w:rPr>
          <w:rFonts w:hint="eastAsia"/>
          <w:color w:val="auto"/>
        </w:rPr>
        <w:t xml:space="preserve">    应提供全面的安全审计功能，对所有重要的系统活动进行记录，审计日志应保留时间不少于6个月，方便事后追溯与分析。</w:t>
      </w:r>
    </w:p>
    <w:p>
      <w:pPr>
        <w:pStyle w:val="2"/>
        <w:rPr>
          <w:color w:val="auto"/>
        </w:rPr>
      </w:pPr>
      <w:r>
        <w:rPr>
          <w:rFonts w:hint="eastAsia"/>
          <w:color w:val="auto"/>
        </w:rPr>
        <w:t xml:space="preserve">    （5）访问控制策略</w:t>
      </w:r>
    </w:p>
    <w:p>
      <w:pPr>
        <w:pStyle w:val="2"/>
        <w:rPr>
          <w:color w:val="auto"/>
        </w:rPr>
      </w:pPr>
      <w:r>
        <w:rPr>
          <w:rFonts w:hint="eastAsia"/>
          <w:color w:val="auto"/>
        </w:rPr>
        <w:t xml:space="preserve">    应设定严格的访问控制策略，限制外部网络对内部系统的访问，确保只有授权人员能够访问敏感数据和执行关键操作，实施多层次的身份认证与授权机制、登录失败处理机制等，提高系统的安全性。</w:t>
      </w:r>
    </w:p>
    <w:p>
      <w:pPr>
        <w:pStyle w:val="2"/>
        <w:rPr>
          <w:color w:val="auto"/>
        </w:rPr>
      </w:pPr>
      <w:r>
        <w:rPr>
          <w:rFonts w:hint="eastAsia"/>
          <w:color w:val="auto"/>
        </w:rPr>
        <w:t xml:space="preserve">    （6）安全漏洞修复</w:t>
      </w:r>
    </w:p>
    <w:p>
      <w:pPr>
        <w:pStyle w:val="2"/>
        <w:rPr>
          <w:color w:val="auto"/>
        </w:rPr>
      </w:pPr>
      <w:r>
        <w:rPr>
          <w:rFonts w:hint="eastAsia"/>
          <w:color w:val="auto"/>
        </w:rPr>
        <w:t xml:space="preserve">    系统应确保具备防范OWASP Top10应用安全、API安全问题的能力，在项目实施完成后，我行将对系统进行全面安全评估，系统投产前须无条件满足我行信息安全管理要求，完成安全相关的测试和问题修复工作。</w:t>
      </w:r>
    </w:p>
    <w:p>
      <w:pPr>
        <w:pStyle w:val="2"/>
        <w:rPr>
          <w:color w:val="auto"/>
        </w:rPr>
      </w:pPr>
      <w:r>
        <w:rPr>
          <w:rFonts w:hint="eastAsia"/>
          <w:color w:val="auto"/>
        </w:rPr>
        <w:t xml:space="preserve">    （7）持续的安全更新与支持</w:t>
      </w:r>
    </w:p>
    <w:p>
      <w:pPr>
        <w:pStyle w:val="2"/>
        <w:rPr>
          <w:color w:val="auto"/>
        </w:rPr>
      </w:pPr>
      <w:r>
        <w:rPr>
          <w:rFonts w:hint="eastAsia"/>
          <w:color w:val="auto"/>
        </w:rPr>
        <w:t xml:space="preserve">    应提供持续的安全更新和支持服务，包括安全漏洞的修复、系统的安全配置优化等，应确保系统的安全性随技术和威胁的变化得到及时维护。</w:t>
      </w:r>
    </w:p>
    <w:p>
      <w:pPr>
        <w:pStyle w:val="2"/>
        <w:rPr>
          <w:color w:val="auto"/>
        </w:rPr>
      </w:pPr>
      <w:r>
        <w:rPr>
          <w:rFonts w:hint="eastAsia"/>
          <w:color w:val="auto"/>
        </w:rPr>
        <w:t xml:space="preserve">    （8）隐私信息保护</w:t>
      </w:r>
    </w:p>
    <w:p>
      <w:pPr>
        <w:pStyle w:val="2"/>
        <w:rPr>
          <w:color w:val="auto"/>
        </w:rPr>
      </w:pPr>
      <w:r>
        <w:rPr>
          <w:rFonts w:hint="eastAsia"/>
          <w:color w:val="auto"/>
        </w:rPr>
        <w:t xml:space="preserve">    应严格遵守相关法律法规，确保个人信息在收集、存储、使用和披露过程中的安全性，所有个人信息处理活动均需获得用户明确同意，并符合相关隐私保护标准。</w:t>
      </w:r>
    </w:p>
    <w:p>
      <w:pPr>
        <w:pStyle w:val="2"/>
        <w:rPr>
          <w:color w:val="auto"/>
        </w:rPr>
      </w:pPr>
      <w:r>
        <w:rPr>
          <w:rFonts w:hint="eastAsia"/>
          <w:color w:val="auto"/>
        </w:rPr>
        <w:t xml:space="preserve">    （9）合理规划部署架构</w:t>
      </w:r>
    </w:p>
    <w:p>
      <w:pPr>
        <w:pStyle w:val="2"/>
        <w:rPr>
          <w:color w:val="auto"/>
        </w:rPr>
      </w:pPr>
      <w:r>
        <w:rPr>
          <w:rFonts w:hint="eastAsia"/>
          <w:color w:val="auto"/>
        </w:rPr>
        <w:t xml:space="preserve">    合理规划系统整体架构，如引入稳定无高危漏洞的开源软件、最小化部署相关软件和设置相应权限、根据系统间交互关系设计访问控制策略、设计API开放策略等。</w:t>
      </w:r>
    </w:p>
    <w:p>
      <w:pPr>
        <w:pStyle w:val="2"/>
        <w:rPr>
          <w:color w:val="auto"/>
        </w:rPr>
      </w:pPr>
      <w:r>
        <w:rPr>
          <w:rFonts w:hint="eastAsia"/>
          <w:color w:val="auto"/>
        </w:rPr>
        <w:t xml:space="preserve">    （10）通过安全测试</w:t>
      </w:r>
    </w:p>
    <w:p>
      <w:pPr>
        <w:pStyle w:val="2"/>
        <w:rPr>
          <w:color w:val="auto"/>
        </w:rPr>
      </w:pPr>
      <w:r>
        <w:rPr>
          <w:rFonts w:hint="eastAsia"/>
          <w:color w:val="auto"/>
        </w:rPr>
        <w:t xml:space="preserve">    具有完善的安全体系、交易防重和交易一致性体系，通过相关行业安全标准体系认证，入场后提供源代码进行全量代码安全审计，对发现问题及时整改修复。系统开发过程中无条件满足我行信息安全管理要求，完成安全相关的测试和问题修复工作。</w:t>
      </w:r>
    </w:p>
    <w:p>
      <w:pPr>
        <w:pStyle w:val="10"/>
        <w:numPr>
          <w:ilvl w:val="0"/>
          <w:numId w:val="0"/>
        </w:numPr>
        <w:spacing w:before="120" w:after="120"/>
        <w:rPr>
          <w:color w:val="auto"/>
        </w:rPr>
      </w:pPr>
      <w:r>
        <w:rPr>
          <w:rFonts w:hint="eastAsia"/>
          <w:color w:val="auto"/>
        </w:rPr>
        <w:t>15.5数据安全要求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093" w:type="dxa"/>
            <w:shd w:val="clear" w:color="auto" w:fill="D7D7D7"/>
            <w:noWrap/>
            <w:vAlign w:val="center"/>
          </w:tcPr>
          <w:p>
            <w:pPr>
              <w:adjustRightInd w:val="0"/>
              <w:spacing w:beforeLines="60" w:afterLines="60" w:line="276" w:lineRule="auto"/>
              <w:rPr>
                <w:rFonts w:cs="宋体" w:asciiTheme="minorEastAsia" w:hAnsiTheme="minorEastAsia" w:eastAsiaTheme="minorEastAsia"/>
                <w:snapToGrid w:val="0"/>
                <w:color w:val="auto"/>
                <w:sz w:val="22"/>
                <w:szCs w:val="22"/>
              </w:rPr>
            </w:pPr>
            <w:r>
              <w:rPr>
                <w:rFonts w:hint="eastAsia" w:cs="宋体" w:asciiTheme="minorEastAsia" w:hAnsiTheme="minorEastAsia" w:eastAsiaTheme="minorEastAsia"/>
                <w:snapToGrid w:val="0"/>
                <w:color w:val="auto"/>
                <w:kern w:val="0"/>
                <w:sz w:val="22"/>
                <w:szCs w:val="22"/>
              </w:rPr>
              <w:t>数据类别</w:t>
            </w:r>
          </w:p>
        </w:tc>
        <w:tc>
          <w:tcPr>
            <w:tcW w:w="6429" w:type="dxa"/>
            <w:shd w:val="clear" w:color="auto" w:fill="D7D7D7"/>
            <w:noWrap/>
            <w:vAlign w:val="center"/>
          </w:tcPr>
          <w:p>
            <w:pPr>
              <w:adjustRightInd w:val="0"/>
              <w:spacing w:beforeLines="60" w:afterLines="60" w:line="276" w:lineRule="auto"/>
              <w:rPr>
                <w:rFonts w:cs="宋体" w:asciiTheme="minorEastAsia" w:hAnsiTheme="minorEastAsia" w:eastAsiaTheme="minorEastAsia"/>
                <w:snapToGrid w:val="0"/>
                <w:color w:val="auto"/>
                <w:sz w:val="22"/>
                <w:szCs w:val="22"/>
              </w:rPr>
            </w:pPr>
            <w:r>
              <w:rPr>
                <w:rFonts w:hint="eastAsia" w:cs="宋体" w:asciiTheme="minorEastAsia" w:hAnsiTheme="minorEastAsia" w:eastAsiaTheme="minorEastAsia"/>
                <w:snapToGrid w:val="0"/>
                <w:color w:val="auto"/>
                <w:kern w:val="0"/>
                <w:sz w:val="22"/>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数据保留年限</w:t>
            </w:r>
          </w:p>
        </w:tc>
        <w:tc>
          <w:tcPr>
            <w:tcW w:w="6429"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数据量对性能会存在一定影响，建议行为指标类数据只保存3-5年数据（根据实际服务器及数据资源具体评估）。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敏感数据存储</w:t>
            </w:r>
          </w:p>
        </w:tc>
        <w:tc>
          <w:tcPr>
            <w:tcW w:w="6429"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账号、密码、用户手机号、地址等敏感数据，可初始化时开启国密加密存储。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数据初始化</w:t>
            </w:r>
          </w:p>
        </w:tc>
        <w:tc>
          <w:tcPr>
            <w:tcW w:w="6429"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元数据初始化、角色数据初始化、配置初始化、模板初始化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API通信</w:t>
            </w:r>
          </w:p>
        </w:tc>
        <w:tc>
          <w:tcPr>
            <w:tcW w:w="6429"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基于appid和secret签名以及熔断限流。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数据备份</w:t>
            </w:r>
          </w:p>
        </w:tc>
        <w:tc>
          <w:tcPr>
            <w:tcW w:w="6429"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数据库每天凌晨进行全量备份，可以恢复最近一天的数据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数据传输</w:t>
            </w:r>
          </w:p>
        </w:tc>
        <w:tc>
          <w:tcPr>
            <w:tcW w:w="6429"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采用HTTPS协议保护通信数据的机密性，对敏感数据报文使用国密算法加解密及验签，支持初次部署时算法选择报文加密，有效保障数据安全。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临时数据文件</w:t>
            </w:r>
          </w:p>
        </w:tc>
        <w:tc>
          <w:tcPr>
            <w:tcW w:w="6429" w:type="dxa"/>
            <w:noWrap/>
            <w:vAlign w:val="center"/>
          </w:tcPr>
          <w:p>
            <w:pPr>
              <w:adjustRightInd w:val="0"/>
              <w:snapToGrid w:val="0"/>
              <w:spacing w:beforeLines="50" w:afterLines="50" w:line="276" w:lineRule="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磁盘等存储设备中存放的临时表、临时文件等临时类数据使用完后清理。</w:t>
            </w:r>
          </w:p>
        </w:tc>
      </w:tr>
    </w:tbl>
    <w:p>
      <w:pPr>
        <w:pStyle w:val="2"/>
        <w:rPr>
          <w:color w:val="auto"/>
        </w:rPr>
      </w:pPr>
    </w:p>
    <w:p>
      <w:pPr>
        <w:pStyle w:val="10"/>
        <w:numPr>
          <w:ilvl w:val="0"/>
          <w:numId w:val="0"/>
        </w:numPr>
        <w:spacing w:before="120" w:after="120"/>
        <w:rPr>
          <w:color w:val="auto"/>
        </w:rPr>
      </w:pPr>
      <w:r>
        <w:rPr>
          <w:rFonts w:hint="eastAsia"/>
          <w:color w:val="auto"/>
        </w:rPr>
        <w:t>15.6运维监控要求</w:t>
      </w:r>
    </w:p>
    <w:p>
      <w:pPr>
        <w:pStyle w:val="2"/>
        <w:rPr>
          <w:color w:val="auto"/>
        </w:rPr>
      </w:pPr>
      <w:r>
        <w:rPr>
          <w:rFonts w:hint="eastAsia"/>
          <w:color w:val="auto"/>
        </w:rPr>
        <w:t xml:space="preserve">    1. 应用运维要求</w:t>
      </w:r>
    </w:p>
    <w:p>
      <w:pPr>
        <w:pStyle w:val="2"/>
        <w:rPr>
          <w:color w:val="auto"/>
        </w:rPr>
      </w:pPr>
      <w:r>
        <w:rPr>
          <w:rFonts w:hint="eastAsia"/>
          <w:color w:val="auto"/>
        </w:rPr>
        <w:t xml:space="preserve">    应用启停和日常版本发布支持接入自动化运维平台（如蓝鲸平台）进行，通过自动化运维平台的应用编排统一管理。应用启停实现不同组件的启动、停止和重启的三种场景的Web化操作。应用日常的版本发布，实现不同组件版本的单个和批量节点发布、检查和回退。</w:t>
      </w:r>
    </w:p>
    <w:p>
      <w:pPr>
        <w:pStyle w:val="2"/>
        <w:rPr>
          <w:color w:val="auto"/>
        </w:rPr>
      </w:pPr>
      <w:r>
        <w:rPr>
          <w:rFonts w:hint="eastAsia"/>
          <w:color w:val="auto"/>
        </w:rPr>
        <w:t xml:space="preserve">    应用支持备份到指定目录，修改、更新按时间戳备份保存备份数据，数据库采用每日备份策略，并将备份数据异地保存，防止服务器故障数据丢失。</w:t>
      </w:r>
    </w:p>
    <w:p>
      <w:pPr>
        <w:pStyle w:val="2"/>
        <w:rPr>
          <w:color w:val="auto"/>
        </w:rPr>
      </w:pPr>
      <w:r>
        <w:rPr>
          <w:rFonts w:hint="eastAsia"/>
          <w:color w:val="auto"/>
        </w:rPr>
        <w:t xml:space="preserve">    2. 应用监控要求</w:t>
      </w:r>
    </w:p>
    <w:p>
      <w:pPr>
        <w:pStyle w:val="2"/>
        <w:rPr>
          <w:color w:val="auto"/>
        </w:rPr>
      </w:pPr>
      <w:r>
        <w:rPr>
          <w:rFonts w:hint="eastAsia"/>
          <w:color w:val="auto"/>
        </w:rPr>
        <w:t xml:space="preserve">    （1）服务调用监控</w:t>
      </w:r>
    </w:p>
    <w:p>
      <w:pPr>
        <w:pStyle w:val="2"/>
        <w:rPr>
          <w:color w:val="auto"/>
        </w:rPr>
      </w:pPr>
      <w:r>
        <w:rPr>
          <w:rFonts w:hint="eastAsia"/>
          <w:color w:val="auto"/>
        </w:rPr>
        <w:t xml:space="preserve">    要求可记录接入方信息：记录外部渠道请求方式；记录接入次数、时间、频率、有效无效等信息；记录接口调用正确性、响应时间、可用性等信息；</w:t>
      </w:r>
    </w:p>
    <w:p>
      <w:pPr>
        <w:pStyle w:val="2"/>
        <w:rPr>
          <w:color w:val="auto"/>
        </w:rPr>
      </w:pPr>
      <w:r>
        <w:rPr>
          <w:rFonts w:hint="eastAsia"/>
          <w:color w:val="auto"/>
        </w:rPr>
        <w:t xml:space="preserve">    要求可记录服务方信息：记录每次一被调用服务的性能信息等；记录相关调用时间、接入方、响应时间等信息。</w:t>
      </w:r>
    </w:p>
    <w:p>
      <w:pPr>
        <w:pStyle w:val="2"/>
        <w:rPr>
          <w:color w:val="auto"/>
        </w:rPr>
      </w:pPr>
      <w:r>
        <w:rPr>
          <w:rFonts w:hint="eastAsia"/>
          <w:color w:val="auto"/>
        </w:rPr>
        <w:t xml:space="preserve">    （2）服务器监控</w:t>
      </w:r>
    </w:p>
    <w:p>
      <w:pPr>
        <w:pStyle w:val="2"/>
        <w:rPr>
          <w:color w:val="auto"/>
        </w:rPr>
      </w:pPr>
      <w:r>
        <w:rPr>
          <w:rFonts w:hint="eastAsia"/>
          <w:color w:val="auto"/>
        </w:rPr>
        <w:t xml:space="preserve">    要求可记录实时监控记录CPU、内存、磁盘、网络流量、系统进程的多种性能指标；记录阶段性能指标信息；记录内网、外网双重生产环境信息；可实现分析性能分布；预判性能瓶颈。</w:t>
      </w:r>
    </w:p>
    <w:p>
      <w:pPr>
        <w:pStyle w:val="2"/>
        <w:rPr>
          <w:color w:val="auto"/>
        </w:rPr>
      </w:pPr>
      <w:r>
        <w:rPr>
          <w:rFonts w:hint="eastAsia"/>
          <w:color w:val="auto"/>
        </w:rPr>
        <w:t xml:space="preserve">    （3）数据库监控</w:t>
      </w:r>
    </w:p>
    <w:p>
      <w:pPr>
        <w:pStyle w:val="2"/>
        <w:rPr>
          <w:color w:val="auto"/>
        </w:rPr>
      </w:pPr>
      <w:r>
        <w:rPr>
          <w:rFonts w:hint="eastAsia"/>
          <w:color w:val="auto"/>
        </w:rPr>
        <w:t xml:space="preserve">    要求可记录监控主流关系型及非关系型数据库等性能指标；实时统计性能指标，全面呈现分析报告，通过性能报告进行性能优化。</w:t>
      </w:r>
    </w:p>
    <w:p>
      <w:pPr>
        <w:pStyle w:val="2"/>
        <w:rPr>
          <w:color w:val="auto"/>
        </w:rPr>
      </w:pPr>
      <w:r>
        <w:rPr>
          <w:rFonts w:hint="eastAsia"/>
          <w:color w:val="auto"/>
        </w:rPr>
        <w:t xml:space="preserve">    （4）安全审查</w:t>
      </w:r>
    </w:p>
    <w:p>
      <w:pPr>
        <w:pStyle w:val="2"/>
        <w:rPr>
          <w:color w:val="auto"/>
        </w:rPr>
      </w:pPr>
      <w:r>
        <w:rPr>
          <w:rFonts w:hint="eastAsia"/>
          <w:color w:val="auto"/>
        </w:rPr>
        <w:t xml:space="preserve">    系统上线前提供完整的安全扫描服务、确保系统符合行业安全审计要求；</w:t>
      </w:r>
    </w:p>
    <w:p>
      <w:pPr>
        <w:pStyle w:val="2"/>
        <w:rPr>
          <w:color w:val="auto"/>
        </w:rPr>
      </w:pPr>
      <w:r>
        <w:rPr>
          <w:rFonts w:hint="eastAsia"/>
          <w:color w:val="auto"/>
        </w:rPr>
        <w:t xml:space="preserve">    要求建立操作记录库查询功能可以查询到平台记录所有操作记录；</w:t>
      </w:r>
    </w:p>
    <w:p>
      <w:pPr>
        <w:pStyle w:val="2"/>
        <w:rPr>
          <w:color w:val="auto"/>
        </w:rPr>
      </w:pPr>
      <w:r>
        <w:rPr>
          <w:rFonts w:hint="eastAsia"/>
          <w:color w:val="auto"/>
        </w:rPr>
        <w:t xml:space="preserve">    （5）日志监控</w:t>
      </w:r>
    </w:p>
    <w:p>
      <w:pPr>
        <w:pStyle w:val="2"/>
        <w:rPr>
          <w:color w:val="auto"/>
        </w:rPr>
      </w:pPr>
      <w:r>
        <w:rPr>
          <w:rFonts w:hint="eastAsia"/>
          <w:color w:val="auto"/>
        </w:rPr>
        <w:t xml:space="preserve">    要求可通过服务日志查询功能可以查询到服务的每一次请求及响应记录，形成服务日志。显示的信息有服务名称、调用方、调用IP、请求时间、响应时间、是否成功等。</w:t>
      </w:r>
    </w:p>
    <w:p>
      <w:pPr>
        <w:pStyle w:val="2"/>
        <w:rPr>
          <w:color w:val="auto"/>
        </w:rPr>
      </w:pPr>
      <w:r>
        <w:rPr>
          <w:rFonts w:hint="eastAsia"/>
          <w:color w:val="auto"/>
        </w:rPr>
        <w:t xml:space="preserve">    （6）告警管理</w:t>
      </w:r>
    </w:p>
    <w:p>
      <w:pPr>
        <w:pStyle w:val="2"/>
        <w:rPr>
          <w:color w:val="auto"/>
        </w:rPr>
      </w:pPr>
      <w:r>
        <w:rPr>
          <w:rFonts w:hint="eastAsia"/>
          <w:color w:val="auto"/>
        </w:rPr>
        <w:t xml:space="preserve">    实现根据监控记录数据综合定制预警提醒：自定义告警阀值，通过短信、Email等进行推送，确保消息即时送达。</w:t>
      </w:r>
    </w:p>
    <w:p>
      <w:pPr>
        <w:pStyle w:val="10"/>
        <w:numPr>
          <w:ilvl w:val="0"/>
          <w:numId w:val="0"/>
        </w:numPr>
        <w:spacing w:before="120" w:after="120"/>
        <w:rPr>
          <w:color w:val="auto"/>
        </w:rPr>
      </w:pPr>
      <w:r>
        <w:rPr>
          <w:rFonts w:hint="eastAsia"/>
          <w:color w:val="auto"/>
        </w:rPr>
        <w:t>15.7数据整合技术要求</w:t>
      </w:r>
    </w:p>
    <w:p>
      <w:pPr>
        <w:pStyle w:val="2"/>
        <w:rPr>
          <w:color w:val="auto"/>
        </w:rPr>
      </w:pPr>
      <w:r>
        <w:rPr>
          <w:rFonts w:hint="eastAsia"/>
          <w:color w:val="auto"/>
        </w:rPr>
        <w:t xml:space="preserve">    1.必须提供数据整合方案，制定一套符合四川天府银行实际的数据标准，增强数据定义和使用的一致性、准确性、可用性、可扩展性，确保数据整合的质量。</w:t>
      </w:r>
    </w:p>
    <w:p>
      <w:pPr>
        <w:pStyle w:val="2"/>
        <w:rPr>
          <w:color w:val="auto"/>
        </w:rPr>
      </w:pPr>
      <w:r>
        <w:rPr>
          <w:rFonts w:hint="eastAsia"/>
          <w:color w:val="auto"/>
        </w:rPr>
        <w:t xml:space="preserve">    2.必须提供获取增量数据的解决方案，根据不同的数据情况提供不同的解决方案。</w:t>
      </w:r>
    </w:p>
    <w:p>
      <w:pPr>
        <w:pStyle w:val="2"/>
        <w:rPr>
          <w:color w:val="auto"/>
        </w:rPr>
      </w:pPr>
      <w:r>
        <w:rPr>
          <w:rFonts w:hint="eastAsia"/>
          <w:color w:val="auto"/>
        </w:rPr>
        <w:t xml:space="preserve">    3.与行内的应用系统对接，打通行内营销管理平台、权益平台等应用系统，提供一套与行内营销管理平台、权益平台完整的集成方案，方便客户经理营销和经营管理层数据决策。</w:t>
      </w:r>
    </w:p>
    <w:p>
      <w:pPr>
        <w:pStyle w:val="2"/>
        <w:rPr>
          <w:color w:val="auto"/>
        </w:rPr>
      </w:pPr>
      <w:r>
        <w:rPr>
          <w:rFonts w:hint="eastAsia"/>
          <w:color w:val="auto"/>
        </w:rPr>
        <w:t xml:space="preserve">    4.设计历史数据加载的程序和处理流程，日常增量加载的程序和处理流程，设计数据抽取失败的恢复处理策略和流程，支持复杂分析，保证数据一次导入多次使用。</w:t>
      </w:r>
    </w:p>
    <w:p>
      <w:pPr>
        <w:pStyle w:val="2"/>
        <w:rPr>
          <w:color w:val="auto"/>
        </w:rPr>
      </w:pPr>
      <w:r>
        <w:rPr>
          <w:rFonts w:hint="eastAsia"/>
          <w:color w:val="auto"/>
        </w:rPr>
        <w:t xml:space="preserve">    5.数据整合必须满足高效率、稳定性、容错机制、扩展性等特性。</w:t>
      </w:r>
    </w:p>
    <w:p>
      <w:pPr>
        <w:pStyle w:val="10"/>
        <w:numPr>
          <w:ilvl w:val="0"/>
          <w:numId w:val="0"/>
        </w:numPr>
        <w:spacing w:before="120" w:after="120"/>
        <w:rPr>
          <w:color w:val="auto"/>
        </w:rPr>
      </w:pPr>
      <w:r>
        <w:rPr>
          <w:rFonts w:hint="eastAsia"/>
          <w:color w:val="auto"/>
        </w:rPr>
        <w:t>15.8系统架构约束要求</w:t>
      </w:r>
    </w:p>
    <w:p>
      <w:pPr>
        <w:pStyle w:val="2"/>
        <w:rPr>
          <w:color w:val="auto"/>
        </w:rPr>
      </w:pPr>
      <w:r>
        <w:rPr>
          <w:rFonts w:hint="eastAsia"/>
          <w:color w:val="auto"/>
        </w:rPr>
        <w:t xml:space="preserve">    1.投标人的解决方案应满足高可用架构的部署要求,能满足招标人信创硬件架构的要求，提供服务器端硬件配置建议，并同时提供需要配套的第三方软件建议。</w:t>
      </w:r>
    </w:p>
    <w:p>
      <w:pPr>
        <w:pStyle w:val="2"/>
        <w:rPr>
          <w:color w:val="auto"/>
        </w:rPr>
      </w:pPr>
      <w:r>
        <w:rPr>
          <w:rFonts w:hint="eastAsia"/>
          <w:color w:val="auto"/>
        </w:rPr>
        <w:t xml:space="preserve">    2.投标人的应用系统应支持集群式部署或分布式部署等横向弹性扩展能力，具有良好的可扩展性、实用性、稳定性、先进性、可维护性。</w:t>
      </w:r>
    </w:p>
    <w:p>
      <w:pPr>
        <w:pStyle w:val="2"/>
        <w:rPr>
          <w:color w:val="auto"/>
        </w:rPr>
      </w:pPr>
      <w:r>
        <w:rPr>
          <w:rFonts w:hint="eastAsia"/>
          <w:color w:val="auto"/>
        </w:rPr>
        <w:t xml:space="preserve">    3.投标人提供建议的硬件解决方案应充分考虑业务发展的要求，具有前瞻性、可扩展性, 系统建设方案要考虑招标人的实际情况，力求系统选型准确、功能完备实用、便于功能扩展。投标人建设的平台需要支持未来新功能、新产品、新活动在平台上可安全、稳定的持续性升级扩展。 </w:t>
      </w:r>
    </w:p>
    <w:p>
      <w:pPr>
        <w:pStyle w:val="2"/>
        <w:rPr>
          <w:color w:val="auto"/>
        </w:rPr>
      </w:pPr>
      <w:r>
        <w:rPr>
          <w:rFonts w:hint="eastAsia"/>
          <w:color w:val="auto"/>
        </w:rPr>
        <w:t xml:space="preserve">    4.投标人的系统或平台应成熟稳定，充分考虑使用招标人现有的软件产品，遵循招标人软件使用规范。</w:t>
      </w:r>
    </w:p>
    <w:p>
      <w:pPr>
        <w:pStyle w:val="2"/>
        <w:rPr>
          <w:color w:val="auto"/>
        </w:rPr>
      </w:pPr>
      <w:r>
        <w:rPr>
          <w:rFonts w:hint="eastAsia"/>
          <w:color w:val="auto"/>
        </w:rPr>
        <w:t xml:space="preserve">    5.应用逻辑与数据库访问独立，程序逻辑和数据库访问合理分层，支持mogDB信创数据库。系统平台应遵循先进性的原则，采用先进的系统架构，采用当前各种先进的技术手段，如数据库技术中的分库分表、读写分离、缓存数据库等技术，保证系统整体解决方案应具备良好的先进性，能够满足未来系统需求的不断发展。系统结构合理、效率高、资源占用率低，避免过多的数据冗余。其中，为保证服务的稳定性，缓存Redis需支持集群多中心的方案。</w:t>
      </w:r>
    </w:p>
    <w:p>
      <w:pPr>
        <w:pStyle w:val="2"/>
        <w:rPr>
          <w:color w:val="auto"/>
        </w:rPr>
      </w:pPr>
      <w:r>
        <w:rPr>
          <w:rFonts w:hint="eastAsia"/>
          <w:color w:val="auto"/>
        </w:rPr>
        <w:t xml:space="preserve">    6.支持通过开关、限流、降级、熔断等方式保证基于最大请求处理能力，按照业务优先级、客户优先级等预先配置的规则进行请求排队，放行，拒绝等操作。</w:t>
      </w:r>
    </w:p>
    <w:p>
      <w:pPr>
        <w:pStyle w:val="2"/>
        <w:rPr>
          <w:color w:val="auto"/>
        </w:rPr>
      </w:pPr>
      <w:r>
        <w:rPr>
          <w:rFonts w:hint="eastAsia"/>
          <w:color w:val="auto"/>
        </w:rPr>
        <w:t xml:space="preserve">    7.具备完善的系统容错能力，提供通讯最大最小实例数、重启间隔和次数控制；支持渠道或交易暂停服务、超流量时自动应答机制；提供基于超时、长时间响应等策略的流量控制。</w:t>
      </w:r>
    </w:p>
    <w:p>
      <w:pPr>
        <w:pStyle w:val="2"/>
        <w:rPr>
          <w:color w:val="auto"/>
        </w:rPr>
      </w:pPr>
      <w:r>
        <w:rPr>
          <w:rFonts w:hint="eastAsia"/>
          <w:color w:val="auto"/>
        </w:rPr>
        <w:t xml:space="preserve">    8.投标人的系统或平台应支持多法人模式，在系统中实现数据隔离，确保不同法人的业务数据互相独立、互不影响。可实现严格的权限和角色管理机制，确保每个法人实体用户只能访问和操作其相关业务数据。</w:t>
      </w:r>
    </w:p>
    <w:p>
      <w:pPr>
        <w:pStyle w:val="5"/>
        <w:rPr>
          <w:color w:val="auto"/>
        </w:rPr>
      </w:pPr>
    </w:p>
    <w:p>
      <w:pPr>
        <w:pStyle w:val="9"/>
        <w:numPr>
          <w:ilvl w:val="0"/>
          <w:numId w:val="3"/>
        </w:numPr>
        <w:rPr>
          <w:color w:val="auto"/>
        </w:rPr>
      </w:pPr>
      <w:r>
        <w:rPr>
          <w:rFonts w:hint="eastAsia"/>
          <w:color w:val="auto"/>
        </w:rPr>
        <w:t>服务响应和售后服务要求</w:t>
      </w:r>
      <w:bookmarkEnd w:id="32"/>
    </w:p>
    <w:p>
      <w:pPr>
        <w:spacing w:line="360" w:lineRule="auto"/>
        <w:rPr>
          <w:color w:val="auto"/>
        </w:rPr>
      </w:pPr>
      <w:r>
        <w:rPr>
          <w:color w:val="auto"/>
        </w:rPr>
        <w:t>1</w:t>
      </w:r>
      <w:r>
        <w:rPr>
          <w:rFonts w:hint="eastAsia"/>
          <w:color w:val="auto"/>
        </w:rPr>
        <w:t xml:space="preserve">. </w:t>
      </w:r>
      <w:r>
        <w:rPr>
          <w:color w:val="auto"/>
        </w:rPr>
        <w:t>质量保证期和保修期</w:t>
      </w:r>
      <w:r>
        <w:rPr>
          <w:rFonts w:hint="eastAsia"/>
          <w:color w:val="auto"/>
        </w:rPr>
        <w:t>为三年，起止日期以合同约定日期为准</w:t>
      </w:r>
      <w:r>
        <w:rPr>
          <w:color w:val="auto"/>
        </w:rPr>
        <w:t>。</w:t>
      </w:r>
    </w:p>
    <w:p>
      <w:pPr>
        <w:pStyle w:val="2"/>
        <w:rPr>
          <w:color w:val="auto"/>
        </w:rPr>
      </w:pPr>
      <w:r>
        <w:rPr>
          <w:rFonts w:hint="eastAsia"/>
          <w:color w:val="auto"/>
        </w:rPr>
        <w:t xml:space="preserve">2. </w:t>
      </w:r>
      <w:r>
        <w:rPr>
          <w:color w:val="auto"/>
        </w:rPr>
        <w:t>技术支持和服务</w:t>
      </w:r>
    </w:p>
    <w:p>
      <w:pPr>
        <w:spacing w:line="360" w:lineRule="auto"/>
        <w:rPr>
          <w:color w:val="auto"/>
        </w:rPr>
      </w:pPr>
      <w:r>
        <w:rPr>
          <w:color w:val="auto"/>
        </w:rPr>
        <w:t>2.</w:t>
      </w:r>
      <w:r>
        <w:rPr>
          <w:rFonts w:hint="eastAsia"/>
          <w:color w:val="auto"/>
        </w:rPr>
        <w:t>1</w:t>
      </w:r>
      <w:r>
        <w:rPr>
          <w:color w:val="auto"/>
        </w:rPr>
        <w:t>  投标人须依照合同要求，派遣有经验的技术人员到买方现场实施技术服务。具体条款和要求在采购合同中另行确定。</w:t>
      </w:r>
    </w:p>
    <w:p>
      <w:pPr>
        <w:spacing w:line="360" w:lineRule="auto"/>
        <w:rPr>
          <w:color w:val="auto"/>
        </w:rPr>
      </w:pPr>
      <w:r>
        <w:rPr>
          <w:rFonts w:hint="eastAsia"/>
          <w:color w:val="auto"/>
        </w:rPr>
        <w:t>2.2</w:t>
      </w:r>
      <w:r>
        <w:rPr>
          <w:color w:val="auto"/>
        </w:rPr>
        <w:t>  故障响应：对于设备本身的故障，卖方应在接到故障通知后的</w:t>
      </w:r>
      <w:r>
        <w:rPr>
          <w:rFonts w:hint="eastAsia"/>
          <w:color w:val="auto"/>
        </w:rPr>
        <w:t>2</w:t>
      </w:r>
      <w:r>
        <w:rPr>
          <w:color w:val="auto"/>
        </w:rPr>
        <w:t>小时内派专业技术人员到现场工作。在接到买方维修通知后，若卖方未能在</w:t>
      </w:r>
      <w:r>
        <w:rPr>
          <w:rFonts w:hint="eastAsia"/>
          <w:color w:val="auto"/>
        </w:rPr>
        <w:t>2</w:t>
      </w:r>
      <w:r>
        <w:rPr>
          <w:color w:val="auto"/>
        </w:rPr>
        <w:t>小时内到达现场，招标人有权要求卖方给予经济赔偿。卖方应于接到通知后在规定时限内到达现场维修设备并于到达现场后24小时内修复完毕，保证系统设备的正常运转。</w:t>
      </w:r>
    </w:p>
    <w:p>
      <w:pPr>
        <w:spacing w:line="360" w:lineRule="auto"/>
        <w:rPr>
          <w:color w:val="auto"/>
        </w:rPr>
      </w:pPr>
      <w:r>
        <w:rPr>
          <w:rFonts w:hint="eastAsia"/>
          <w:color w:val="auto"/>
        </w:rPr>
        <w:t xml:space="preserve">2.3 </w:t>
      </w:r>
      <w:r>
        <w:rPr>
          <w:color w:val="auto"/>
        </w:rPr>
        <w:t>备件服务投标人应具备充分的备品、配件、可及时向招标人提供技术服务和各种服务。</w:t>
      </w:r>
    </w:p>
    <w:p>
      <w:pPr>
        <w:spacing w:line="360" w:lineRule="auto"/>
        <w:rPr>
          <w:color w:val="auto"/>
        </w:rPr>
      </w:pPr>
      <w:r>
        <w:rPr>
          <w:rFonts w:hint="eastAsia"/>
          <w:color w:val="auto"/>
        </w:rPr>
        <w:t xml:space="preserve">3. </w:t>
      </w:r>
      <w:r>
        <w:rPr>
          <w:color w:val="auto"/>
        </w:rPr>
        <w:t>安装和验收测试</w:t>
      </w:r>
    </w:p>
    <w:p>
      <w:pPr>
        <w:spacing w:line="360" w:lineRule="auto"/>
        <w:rPr>
          <w:color w:val="auto"/>
        </w:rPr>
      </w:pPr>
      <w:r>
        <w:rPr>
          <w:rFonts w:hint="eastAsia"/>
          <w:color w:val="auto"/>
        </w:rPr>
        <w:t xml:space="preserve">3.1. </w:t>
      </w:r>
      <w:r>
        <w:rPr>
          <w:color w:val="auto"/>
        </w:rPr>
        <w:t>投标人对所提供的货物应提供设备的系统集成和安装调试服务及相关的技术支持。</w:t>
      </w:r>
    </w:p>
    <w:p>
      <w:pPr>
        <w:spacing w:line="360" w:lineRule="auto"/>
        <w:rPr>
          <w:color w:val="auto"/>
        </w:rPr>
      </w:pPr>
      <w:r>
        <w:rPr>
          <w:color w:val="auto"/>
        </w:rPr>
        <w:t>3.2   完成安装调试后，经测试，设备的各项性能和参数应满足《招标文件》的规定和要求。</w:t>
      </w:r>
    </w:p>
    <w:p>
      <w:pPr>
        <w:spacing w:line="360" w:lineRule="auto"/>
        <w:rPr>
          <w:color w:val="auto"/>
        </w:rPr>
      </w:pPr>
      <w:r>
        <w:rPr>
          <w:color w:val="auto"/>
        </w:rPr>
        <w:t>3.3   验收标准：设备运转测试时，投标人应无条件完成调试服务，直至验收合格，交付使用。</w:t>
      </w:r>
    </w:p>
    <w:p>
      <w:pPr>
        <w:spacing w:line="360" w:lineRule="auto"/>
        <w:rPr>
          <w:color w:val="auto"/>
        </w:rPr>
      </w:pPr>
      <w:r>
        <w:rPr>
          <w:color w:val="auto"/>
        </w:rPr>
        <w:t>3.4   验收程序和方法与合同部分的要求内容相同。</w:t>
      </w:r>
    </w:p>
    <w:p>
      <w:pPr>
        <w:spacing w:line="360" w:lineRule="auto"/>
        <w:rPr>
          <w:color w:val="auto"/>
        </w:rPr>
      </w:pPr>
      <w:r>
        <w:rPr>
          <w:color w:val="auto"/>
        </w:rPr>
        <w:t>4 文档和培训要求</w:t>
      </w:r>
    </w:p>
    <w:p>
      <w:pPr>
        <w:spacing w:line="360" w:lineRule="auto"/>
        <w:rPr>
          <w:color w:val="auto"/>
        </w:rPr>
      </w:pPr>
      <w:r>
        <w:rPr>
          <w:rFonts w:hint="eastAsia"/>
          <w:color w:val="auto"/>
        </w:rPr>
        <w:t xml:space="preserve">4.1 </w:t>
      </w:r>
      <w:r>
        <w:rPr>
          <w:color w:val="auto"/>
        </w:rPr>
        <w:t>投标人应确保所提供的培训是全面而系统的，包含了设备的使用和维护等培训内容，培训的主要对象是设备的使用者和技术支持人员。所需所有费用（包括培训费、教材费、认证费、交通费、食宿费等）均由投标人承担</w:t>
      </w:r>
    </w:p>
    <w:p>
      <w:pPr>
        <w:spacing w:line="360" w:lineRule="auto"/>
        <w:rPr>
          <w:color w:val="auto"/>
        </w:rPr>
      </w:pPr>
      <w:r>
        <w:rPr>
          <w:rFonts w:hint="eastAsia"/>
          <w:color w:val="auto"/>
        </w:rPr>
        <w:t>4.2 供应商应按照用户要求提供现场培训服务，设备现场培训主要讲述相应产品原理、功能、使用、维护保养方面的知识，持续时间至少为3天。投标人应当在投标文件中详细说明现场技术培训的内容及其它相关情况。供应商应免费提供相关设备售后一年内的原厂商产品技术支持与产品保修服务，日期从用户签订设备到货验收单开始计算（若为软件则以正式上线使用开始计算）</w:t>
      </w:r>
      <w:r>
        <w:rPr>
          <w:rFonts w:hint="eastAsia" w:ascii="等线" w:hAnsi="等线" w:eastAsia="等线"/>
          <w:color w:val="auto"/>
        </w:rPr>
        <w:t>。</w:t>
      </w:r>
    </w:p>
    <w:p>
      <w:pPr>
        <w:rPr>
          <w:color w:val="auto"/>
        </w:rPr>
      </w:pPr>
      <w:r>
        <w:rPr>
          <w:rFonts w:hint="eastAsia"/>
          <w:color w:val="auto"/>
        </w:rPr>
        <w:br w:type="page"/>
      </w:r>
    </w:p>
    <w:p>
      <w:pPr>
        <w:pStyle w:val="27"/>
        <w:jc w:val="both"/>
        <w:rPr>
          <w:snapToGrid w:val="0"/>
          <w:color w:val="auto"/>
        </w:rPr>
      </w:pPr>
      <w:bookmarkStart w:id="33" w:name="_Toc67558717"/>
      <w:r>
        <w:rPr>
          <w:rFonts w:hint="eastAsia"/>
          <w:snapToGrid w:val="0"/>
          <w:color w:val="auto"/>
        </w:rPr>
        <w:t>第三部分：投标文件格式</w:t>
      </w:r>
      <w:r>
        <w:rPr>
          <w:rFonts w:hint="eastAsia"/>
          <w:color w:val="auto"/>
        </w:rPr>
        <w:t>投标函格式</w:t>
      </w:r>
      <w:bookmarkEnd w:id="33"/>
    </w:p>
    <w:p>
      <w:pPr>
        <w:pStyle w:val="9"/>
        <w:numPr>
          <w:ilvl w:val="0"/>
          <w:numId w:val="5"/>
        </w:numPr>
        <w:rPr>
          <w:color w:val="auto"/>
        </w:rPr>
      </w:pPr>
      <w:bookmarkStart w:id="34" w:name="_Toc67558718"/>
      <w:r>
        <w:rPr>
          <w:rFonts w:hint="eastAsia"/>
          <w:color w:val="auto"/>
        </w:rPr>
        <w:t>投 标 函</w:t>
      </w:r>
      <w:bookmarkEnd w:id="34"/>
    </w:p>
    <w:p>
      <w:pPr>
        <w:rPr>
          <w:rFonts w:ascii="宋体"/>
          <w:color w:val="auto"/>
          <w:sz w:val="24"/>
        </w:rPr>
      </w:pPr>
      <w:r>
        <w:rPr>
          <w:rFonts w:hint="eastAsia" w:ascii="宋体"/>
          <w:color w:val="auto"/>
        </w:rPr>
        <w:t>致</w:t>
      </w:r>
      <w:r>
        <w:rPr>
          <w:rFonts w:hint="eastAsia" w:ascii="宋体"/>
          <w:color w:val="auto"/>
          <w:sz w:val="24"/>
        </w:rPr>
        <w:t>:</w:t>
      </w:r>
      <w:r>
        <w:rPr>
          <w:rFonts w:hint="eastAsia" w:ascii="宋体"/>
          <w:color w:val="auto"/>
        </w:rPr>
        <w:t>四川天府银行</w:t>
      </w:r>
    </w:p>
    <w:p>
      <w:pPr>
        <w:pStyle w:val="18"/>
        <w:ind w:firstLine="400" w:firstLineChars="200"/>
        <w:rPr>
          <w:color w:val="auto"/>
        </w:rPr>
      </w:pPr>
      <w:r>
        <w:rPr>
          <w:rFonts w:hint="eastAsia"/>
          <w:color w:val="auto"/>
        </w:rPr>
        <w:t>我方确认收到贵方_</w:t>
      </w:r>
      <w:r>
        <w:rPr>
          <w:rFonts w:hint="eastAsia"/>
          <w:b/>
          <w:i/>
          <w:color w:val="auto"/>
          <w:u w:val="single"/>
        </w:rPr>
        <w:t>四川天府银行</w:t>
      </w:r>
      <w:r>
        <w:rPr>
          <w:rFonts w:hint="eastAsia" w:hAnsi="Times New Roman"/>
          <w:b/>
          <w:i/>
          <w:color w:val="auto"/>
          <w:sz w:val="21"/>
          <w:u w:val="single"/>
        </w:rPr>
        <w:t>企业微信本地化部署项目</w:t>
      </w:r>
      <w:r>
        <w:rPr>
          <w:rFonts w:hint="eastAsia"/>
          <w:b/>
          <w:i/>
          <w:color w:val="auto"/>
          <w:u w:val="single"/>
        </w:rPr>
        <w:t>招标</w:t>
      </w:r>
      <w:r>
        <w:rPr>
          <w:rFonts w:hint="eastAsia" w:hAnsi="宋体"/>
          <w:i/>
          <w:color w:val="auto"/>
          <w:kern w:val="28"/>
          <w:u w:val="single"/>
        </w:rPr>
        <w:t>_</w:t>
      </w:r>
      <w:r>
        <w:rPr>
          <w:rFonts w:hint="eastAsia" w:hAnsi="宋体"/>
          <w:color w:val="auto"/>
          <w:kern w:val="28"/>
        </w:rPr>
        <w:t>项目采购</w:t>
      </w:r>
      <w:r>
        <w:rPr>
          <w:rFonts w:hint="eastAsia"/>
          <w:color w:val="auto"/>
        </w:rPr>
        <w:t>的招标文件，</w:t>
      </w:r>
      <w:r>
        <w:rPr>
          <w:rFonts w:hint="eastAsia"/>
          <w:i/>
          <w:color w:val="auto"/>
          <w:u w:val="single"/>
        </w:rPr>
        <w:t>(投标人名称)</w:t>
      </w:r>
      <w:r>
        <w:rPr>
          <w:rFonts w:hint="eastAsia"/>
          <w:color w:val="auto"/>
        </w:rPr>
        <w:t>作为投标人已正式授权</w:t>
      </w:r>
      <w:r>
        <w:rPr>
          <w:rFonts w:hint="eastAsia"/>
          <w:i/>
          <w:color w:val="auto"/>
          <w:u w:val="single"/>
        </w:rPr>
        <w:t>(被授权代表全名、职务)</w:t>
      </w:r>
      <w:r>
        <w:rPr>
          <w:rFonts w:hint="eastAsia"/>
          <w:color w:val="auto"/>
        </w:rPr>
        <w:t>代表我方提交投标文件，正本一份副本4份，并在正本内附有对应于投标文件各册内容的电子文件一套（U盘形式，Word可编辑和盖章PDF版本）。</w:t>
      </w:r>
    </w:p>
    <w:p>
      <w:pPr>
        <w:pStyle w:val="18"/>
        <w:ind w:firstLine="360"/>
        <w:rPr>
          <w:color w:val="auto"/>
        </w:rPr>
      </w:pPr>
      <w:r>
        <w:rPr>
          <w:rFonts w:hint="eastAsia"/>
          <w:color w:val="auto"/>
        </w:rPr>
        <w:t xml:space="preserve">投标文件包括如下内容: </w:t>
      </w:r>
    </w:p>
    <w:p>
      <w:pPr>
        <w:spacing w:line="360" w:lineRule="auto"/>
        <w:ind w:firstLine="420" w:firstLineChars="200"/>
        <w:rPr>
          <w:color w:val="auto"/>
        </w:rPr>
      </w:pPr>
      <w:r>
        <w:rPr>
          <w:rFonts w:hint="eastAsia"/>
          <w:color w:val="auto"/>
        </w:rPr>
        <w:t>1．投标函；</w:t>
      </w:r>
    </w:p>
    <w:p>
      <w:pPr>
        <w:spacing w:line="360" w:lineRule="auto"/>
        <w:ind w:firstLine="420" w:firstLineChars="200"/>
        <w:rPr>
          <w:color w:val="auto"/>
        </w:rPr>
      </w:pPr>
      <w:r>
        <w:rPr>
          <w:rFonts w:hint="eastAsia"/>
          <w:color w:val="auto"/>
        </w:rPr>
        <w:t>2．投标报价表；</w:t>
      </w:r>
    </w:p>
    <w:p>
      <w:pPr>
        <w:spacing w:line="360" w:lineRule="auto"/>
        <w:ind w:firstLine="420" w:firstLineChars="200"/>
        <w:rPr>
          <w:color w:val="auto"/>
        </w:rPr>
      </w:pPr>
      <w:r>
        <w:rPr>
          <w:rFonts w:hint="eastAsia"/>
          <w:color w:val="auto"/>
        </w:rPr>
        <w:t>3．授权书；</w:t>
      </w:r>
    </w:p>
    <w:p>
      <w:pPr>
        <w:spacing w:line="360" w:lineRule="auto"/>
        <w:ind w:firstLine="420" w:firstLineChars="200"/>
        <w:rPr>
          <w:color w:val="auto"/>
        </w:rPr>
      </w:pPr>
      <w:r>
        <w:rPr>
          <w:rFonts w:hint="eastAsia"/>
          <w:color w:val="auto"/>
        </w:rPr>
        <w:t>4．资格证明文件，资质证明文件、业绩情况；</w:t>
      </w:r>
    </w:p>
    <w:p>
      <w:pPr>
        <w:spacing w:line="360" w:lineRule="auto"/>
        <w:ind w:firstLine="420" w:firstLineChars="200"/>
        <w:rPr>
          <w:color w:val="auto"/>
        </w:rPr>
      </w:pPr>
      <w:r>
        <w:rPr>
          <w:rFonts w:hint="eastAsia"/>
          <w:color w:val="auto"/>
        </w:rPr>
        <w:t>5．用户需求响应表；</w:t>
      </w:r>
    </w:p>
    <w:p>
      <w:pPr>
        <w:spacing w:line="360" w:lineRule="auto"/>
        <w:ind w:firstLine="420" w:firstLineChars="200"/>
        <w:rPr>
          <w:color w:val="auto"/>
        </w:rPr>
      </w:pPr>
      <w:r>
        <w:rPr>
          <w:rFonts w:hint="eastAsia"/>
          <w:color w:val="auto"/>
        </w:rPr>
        <w:t>6．技术响应文件；</w:t>
      </w:r>
    </w:p>
    <w:p>
      <w:pPr>
        <w:spacing w:line="360" w:lineRule="auto"/>
        <w:ind w:firstLine="420" w:firstLineChars="200"/>
        <w:rPr>
          <w:color w:val="auto"/>
        </w:rPr>
      </w:pPr>
      <w:r>
        <w:rPr>
          <w:rFonts w:hint="eastAsia"/>
          <w:color w:val="auto"/>
        </w:rPr>
        <w:t>7．按招标文件中投标人须知及投标文件格式提供的其它有关文件；</w:t>
      </w:r>
    </w:p>
    <w:p>
      <w:pPr>
        <w:spacing w:line="360" w:lineRule="auto"/>
        <w:ind w:firstLine="420" w:firstLineChars="200"/>
        <w:rPr>
          <w:color w:val="auto"/>
        </w:rPr>
      </w:pPr>
      <w:r>
        <w:rPr>
          <w:rFonts w:hint="eastAsia"/>
          <w:color w:val="auto"/>
        </w:rPr>
        <w:t>8．证明拟提供的产品和服务符合招标文件规定的合法性证明文件。</w:t>
      </w:r>
    </w:p>
    <w:p>
      <w:pPr>
        <w:pStyle w:val="18"/>
        <w:spacing w:before="120"/>
        <w:rPr>
          <w:color w:val="auto"/>
        </w:rPr>
      </w:pPr>
      <w:r>
        <w:rPr>
          <w:rFonts w:hint="eastAsia"/>
          <w:color w:val="auto"/>
        </w:rPr>
        <w:t>我方已完全明白招标文件的所有条款要求，并重申以下几点：</w:t>
      </w:r>
    </w:p>
    <w:p>
      <w:pPr>
        <w:spacing w:line="360" w:lineRule="auto"/>
        <w:ind w:firstLine="420" w:firstLineChars="200"/>
        <w:rPr>
          <w:color w:val="auto"/>
        </w:rPr>
      </w:pPr>
      <w:r>
        <w:rPr>
          <w:rFonts w:hint="eastAsia"/>
          <w:color w:val="auto"/>
        </w:rPr>
        <w:t>1．本投标文件的有效期为投标文件提交截止之日起90天内有效；</w:t>
      </w:r>
    </w:p>
    <w:p>
      <w:pPr>
        <w:spacing w:line="360" w:lineRule="auto"/>
        <w:ind w:firstLine="420" w:firstLineChars="200"/>
        <w:rPr>
          <w:color w:val="auto"/>
        </w:rPr>
      </w:pPr>
      <w:r>
        <w:rPr>
          <w:rFonts w:hint="eastAsia"/>
          <w:color w:val="auto"/>
        </w:rPr>
        <w:t>2．我方已详细研究了招标文件的所有内容，包括修改文件(如果有)和所有已收到的参考资料以及有关附件，并完全明白。我方放弃在此方面提出不明或误解的一切权利。</w:t>
      </w:r>
    </w:p>
    <w:p>
      <w:pPr>
        <w:spacing w:line="360" w:lineRule="auto"/>
        <w:ind w:firstLine="420" w:firstLineChars="200"/>
        <w:rPr>
          <w:color w:val="auto"/>
        </w:rPr>
      </w:pPr>
      <w:r>
        <w:rPr>
          <w:rFonts w:hint="eastAsia"/>
          <w:color w:val="auto"/>
        </w:rPr>
        <w:t>3．对贵方在招标文件中（包括修改文件(如果有)和所有已收到的参考资料以及有关附件）有关权利义务和责任限制或免除条款的含义，我方已完全明白并接受。</w:t>
      </w:r>
    </w:p>
    <w:p>
      <w:pPr>
        <w:spacing w:line="360" w:lineRule="auto"/>
        <w:ind w:firstLine="420" w:firstLineChars="200"/>
        <w:rPr>
          <w:color w:val="auto"/>
        </w:rPr>
      </w:pPr>
      <w:r>
        <w:rPr>
          <w:rFonts w:hint="eastAsia"/>
          <w:color w:val="auto"/>
        </w:rPr>
        <w:t>4．我方同意按照贵方可能提出的要求而提供与投标有关的任何其它数据或信息。</w:t>
      </w:r>
    </w:p>
    <w:p>
      <w:pPr>
        <w:spacing w:line="360" w:lineRule="auto"/>
        <w:ind w:firstLine="420" w:firstLineChars="200"/>
        <w:rPr>
          <w:color w:val="auto"/>
        </w:rPr>
      </w:pPr>
      <w:r>
        <w:rPr>
          <w:rFonts w:hint="eastAsia"/>
          <w:color w:val="auto"/>
        </w:rPr>
        <w:t>5．我方理解贵方不一定接受最低投标价或贵方收到的任何投标。</w:t>
      </w:r>
    </w:p>
    <w:p>
      <w:pPr>
        <w:spacing w:line="360" w:lineRule="auto"/>
        <w:ind w:firstLine="420" w:firstLineChars="200"/>
        <w:rPr>
          <w:color w:val="auto"/>
        </w:rPr>
      </w:pPr>
      <w:r>
        <w:rPr>
          <w:rFonts w:hint="eastAsia"/>
          <w:color w:val="auto"/>
        </w:rPr>
        <w:t>6．我方如果中选，将按照招标文件及其修改文件（如果有）的要求及我方承诺，按质、按量、按期履行全部合同责任和义务。</w:t>
      </w:r>
    </w:p>
    <w:p>
      <w:pPr>
        <w:spacing w:line="360" w:lineRule="auto"/>
        <w:ind w:firstLine="420" w:firstLineChars="200"/>
        <w:rPr>
          <w:color w:val="auto"/>
        </w:rPr>
      </w:pPr>
      <w:r>
        <w:rPr>
          <w:rFonts w:hint="eastAsia"/>
          <w:color w:val="auto"/>
        </w:rPr>
        <w:t>7．所有与本招标有关的函件请按下列联系方式发送:</w:t>
      </w:r>
    </w:p>
    <w:p>
      <w:pPr>
        <w:rPr>
          <w:rFonts w:ascii="宋体"/>
          <w:color w:val="auto"/>
        </w:rPr>
      </w:pPr>
    </w:p>
    <w:p>
      <w:pPr>
        <w:ind w:left="721"/>
        <w:rPr>
          <w:rFonts w:ascii="宋体"/>
          <w:color w:val="auto"/>
          <w:u w:val="single"/>
        </w:rPr>
      </w:pPr>
      <w:r>
        <w:rPr>
          <w:rFonts w:hint="eastAsia" w:ascii="宋体"/>
          <w:color w:val="auto"/>
        </w:rPr>
        <w:t>地    址：.  邮政编码：.</w:t>
      </w:r>
    </w:p>
    <w:p>
      <w:pPr>
        <w:ind w:left="721"/>
        <w:rPr>
          <w:rFonts w:ascii="宋体"/>
          <w:color w:val="auto"/>
          <w:u w:val="single"/>
        </w:rPr>
      </w:pPr>
      <w:r>
        <w:rPr>
          <w:rFonts w:hint="eastAsia" w:ascii="宋体"/>
          <w:color w:val="auto"/>
        </w:rPr>
        <w:t>电    话：.  传    真：.</w:t>
      </w:r>
    </w:p>
    <w:p>
      <w:pPr>
        <w:rPr>
          <w:rFonts w:ascii="宋体"/>
          <w:color w:val="auto"/>
          <w:u w:val="single"/>
        </w:rPr>
      </w:pPr>
    </w:p>
    <w:p>
      <w:pPr>
        <w:rPr>
          <w:rFonts w:ascii="宋体"/>
          <w:color w:val="auto"/>
          <w:u w:val="single"/>
        </w:rPr>
      </w:pPr>
    </w:p>
    <w:p>
      <w:pPr>
        <w:ind w:left="4599" w:leftChars="2190"/>
        <w:rPr>
          <w:rFonts w:ascii="宋体"/>
          <w:color w:val="auto"/>
        </w:rPr>
      </w:pPr>
      <w:r>
        <w:rPr>
          <w:rFonts w:hint="eastAsia" w:ascii="宋体"/>
          <w:color w:val="auto"/>
        </w:rPr>
        <w:t>投标人（公章）：</w:t>
      </w:r>
    </w:p>
    <w:p>
      <w:pPr>
        <w:ind w:left="4599" w:leftChars="2190"/>
        <w:rPr>
          <w:rFonts w:ascii="宋体"/>
          <w:color w:val="auto"/>
        </w:rPr>
      </w:pPr>
      <w:r>
        <w:rPr>
          <w:rFonts w:hint="eastAsia" w:ascii="宋体"/>
          <w:color w:val="auto"/>
        </w:rPr>
        <w:t>法定代表人</w:t>
      </w:r>
    </w:p>
    <w:p>
      <w:pPr>
        <w:ind w:left="4599" w:leftChars="2190"/>
        <w:rPr>
          <w:rFonts w:ascii="宋体"/>
          <w:color w:val="auto"/>
        </w:rPr>
      </w:pPr>
      <w:r>
        <w:rPr>
          <w:rFonts w:hint="eastAsia" w:ascii="宋体"/>
          <w:color w:val="auto"/>
        </w:rPr>
        <w:t>或被授权人签名（或盖章）：</w:t>
      </w:r>
    </w:p>
    <w:p>
      <w:pPr>
        <w:ind w:left="4599" w:leftChars="2190"/>
        <w:rPr>
          <w:rFonts w:ascii="宋体"/>
          <w:color w:val="auto"/>
        </w:rPr>
      </w:pPr>
      <w:r>
        <w:rPr>
          <w:rFonts w:hint="eastAsia" w:ascii="宋体"/>
          <w:color w:val="auto"/>
        </w:rPr>
        <w:t>日    期：</w:t>
      </w:r>
    </w:p>
    <w:p>
      <w:pPr>
        <w:rPr>
          <w:color w:val="auto"/>
        </w:rPr>
      </w:pPr>
      <w:r>
        <w:rPr>
          <w:rFonts w:hint="eastAsia"/>
          <w:color w:val="auto"/>
        </w:rPr>
        <w:br w:type="page"/>
      </w:r>
    </w:p>
    <w:p>
      <w:pPr>
        <w:pStyle w:val="9"/>
        <w:numPr>
          <w:ilvl w:val="0"/>
          <w:numId w:val="5"/>
        </w:numPr>
        <w:rPr>
          <w:color w:val="auto"/>
        </w:rPr>
      </w:pPr>
      <w:bookmarkStart w:id="35" w:name="_Toc67558719"/>
      <w:r>
        <w:rPr>
          <w:rFonts w:hint="eastAsia"/>
          <w:color w:val="auto"/>
        </w:rPr>
        <w:t>投标报价表格式</w:t>
      </w:r>
      <w:bookmarkEnd w:id="35"/>
    </w:p>
    <w:p>
      <w:pPr>
        <w:spacing w:line="360" w:lineRule="auto"/>
        <w:ind w:firstLine="420" w:firstLineChars="200"/>
        <w:rPr>
          <w:color w:val="auto"/>
        </w:rPr>
      </w:pPr>
      <w:r>
        <w:rPr>
          <w:rFonts w:hint="eastAsia"/>
          <w:color w:val="auto"/>
        </w:rPr>
        <w:t>投标人应按附表格式提交报价表，并提供报价表的电子文件。</w:t>
      </w:r>
    </w:p>
    <w:p>
      <w:pPr>
        <w:pStyle w:val="18"/>
        <w:jc w:val="center"/>
        <w:rPr>
          <w:b/>
          <w:color w:val="auto"/>
          <w:sz w:val="32"/>
        </w:rPr>
      </w:pPr>
      <w:r>
        <w:rPr>
          <w:rFonts w:hint="eastAsia"/>
          <w:b/>
          <w:color w:val="auto"/>
          <w:sz w:val="32"/>
        </w:rPr>
        <w:t>投标报价表</w:t>
      </w:r>
    </w:p>
    <w:p>
      <w:pPr>
        <w:ind w:firstLine="105" w:firstLineChars="50"/>
        <w:rPr>
          <w:rFonts w:ascii="宋体"/>
          <w:color w:val="auto"/>
        </w:rPr>
      </w:pPr>
      <w:r>
        <w:rPr>
          <w:rFonts w:hint="eastAsia" w:ascii="宋体"/>
          <w:color w:val="auto"/>
        </w:rPr>
        <w:t>项目名称：</w:t>
      </w:r>
      <w:r>
        <w:rPr>
          <w:rFonts w:hint="eastAsia"/>
          <w:b/>
          <w:i/>
          <w:color w:val="auto"/>
          <w:u w:val="single"/>
        </w:rPr>
        <w:t>四川天府银行企业微信本地化部署项目招标</w:t>
      </w:r>
    </w:p>
    <w:p>
      <w:pPr>
        <w:pStyle w:val="55"/>
        <w:tabs>
          <w:tab w:val="left" w:pos="5130"/>
        </w:tabs>
        <w:spacing w:afterLines="50" w:line="360" w:lineRule="auto"/>
        <w:ind w:firstLine="105" w:firstLineChars="50"/>
        <w:jc w:val="both"/>
        <w:rPr>
          <w:rFonts w:hint="eastAsia"/>
          <w:color w:val="auto"/>
          <w:sz w:val="21"/>
        </w:rPr>
      </w:pPr>
      <w:r>
        <w:rPr>
          <w:rFonts w:hint="eastAsia"/>
          <w:color w:val="auto"/>
          <w:sz w:val="21"/>
        </w:rPr>
        <w:t>投标人：</w:t>
      </w:r>
      <w:r>
        <w:rPr>
          <w:rFonts w:hint="eastAsia"/>
          <w:color w:val="auto"/>
          <w:sz w:val="21"/>
          <w:u w:val="single"/>
        </w:rPr>
        <w:tab/>
      </w:r>
      <w:r>
        <w:rPr>
          <w:rFonts w:hint="eastAsia"/>
          <w:color w:val="auto"/>
          <w:sz w:val="21"/>
        </w:rPr>
        <w:t>　       价格单位：（人民币）元</w:t>
      </w:r>
    </w:p>
    <w:p>
      <w:pPr>
        <w:pStyle w:val="55"/>
        <w:tabs>
          <w:tab w:val="left" w:pos="5130"/>
        </w:tabs>
        <w:spacing w:afterLines="50" w:line="360" w:lineRule="auto"/>
        <w:ind w:firstLine="120" w:firstLineChars="50"/>
        <w:jc w:val="both"/>
        <w:rPr>
          <w:color w:val="auto"/>
          <w:sz w:val="21"/>
        </w:rPr>
      </w:pPr>
      <w:r>
        <w:rPr>
          <w:rFonts w:hAnsi="宋体"/>
          <w:color w:val="auto"/>
          <w:szCs w:val="21"/>
        </w:rPr>
        <w:t xml:space="preserve"> </w:t>
      </w:r>
    </w:p>
    <w:tbl>
      <w:tblPr>
        <w:tblStyle w:val="29"/>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880"/>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66" w:type="dxa"/>
            <w:vAlign w:val="center"/>
          </w:tcPr>
          <w:p>
            <w:pPr>
              <w:spacing w:line="360" w:lineRule="auto"/>
              <w:ind w:firstLine="420" w:firstLineChars="200"/>
              <w:jc w:val="left"/>
              <w:rPr>
                <w:color w:val="auto"/>
              </w:rPr>
            </w:pPr>
            <w:r>
              <w:rPr>
                <w:rFonts w:hint="eastAsia"/>
                <w:color w:val="auto"/>
              </w:rPr>
              <w:t>1</w:t>
            </w:r>
          </w:p>
        </w:tc>
        <w:tc>
          <w:tcPr>
            <w:tcW w:w="1880" w:type="dxa"/>
            <w:vAlign w:val="center"/>
          </w:tcPr>
          <w:p>
            <w:pPr>
              <w:spacing w:line="360" w:lineRule="auto"/>
              <w:jc w:val="left"/>
              <w:rPr>
                <w:bCs/>
                <w:color w:val="auto"/>
              </w:rPr>
            </w:pPr>
            <w:r>
              <w:rPr>
                <w:rFonts w:hint="eastAsia"/>
                <w:bCs/>
                <w:color w:val="auto"/>
              </w:rPr>
              <w:t>总报价</w:t>
            </w:r>
            <w:r>
              <w:rPr>
                <w:rFonts w:hint="eastAsia"/>
                <w:color w:val="auto"/>
              </w:rPr>
              <w:t>(含增值税)</w:t>
            </w:r>
          </w:p>
        </w:tc>
        <w:tc>
          <w:tcPr>
            <w:tcW w:w="5575" w:type="dxa"/>
            <w:vAlign w:val="center"/>
          </w:tcPr>
          <w:p>
            <w:pPr>
              <w:spacing w:line="360" w:lineRule="auto"/>
              <w:ind w:firstLine="420" w:firstLineChars="200"/>
              <w:jc w:val="left"/>
              <w:rPr>
                <w:color w:val="auto"/>
              </w:rPr>
            </w:pPr>
            <w:r>
              <w:rPr>
                <w:rFonts w:hint="eastAsia"/>
                <w:color w:val="auto"/>
              </w:rPr>
              <w:t xml:space="preserve">总报价(含增值税):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66" w:type="dxa"/>
            <w:vMerge w:val="restart"/>
            <w:vAlign w:val="center"/>
          </w:tcPr>
          <w:p>
            <w:pPr>
              <w:spacing w:line="360" w:lineRule="auto"/>
              <w:ind w:firstLine="420" w:firstLineChars="200"/>
              <w:jc w:val="left"/>
              <w:rPr>
                <w:color w:val="auto"/>
              </w:rPr>
            </w:pPr>
            <w:r>
              <w:rPr>
                <w:rFonts w:hint="eastAsia"/>
                <w:color w:val="auto"/>
              </w:rPr>
              <w:t>2</w:t>
            </w:r>
          </w:p>
        </w:tc>
        <w:tc>
          <w:tcPr>
            <w:tcW w:w="1880" w:type="dxa"/>
            <w:vMerge w:val="restart"/>
            <w:vAlign w:val="center"/>
          </w:tcPr>
          <w:p>
            <w:pPr>
              <w:spacing w:line="360" w:lineRule="auto"/>
              <w:jc w:val="left"/>
              <w:rPr>
                <w:color w:val="auto"/>
              </w:rPr>
            </w:pPr>
            <w:r>
              <w:rPr>
                <w:rFonts w:hint="eastAsia"/>
                <w:color w:val="auto"/>
              </w:rPr>
              <w:t>会话存档功能服务版(含增值税)</w:t>
            </w:r>
          </w:p>
        </w:tc>
        <w:tc>
          <w:tcPr>
            <w:tcW w:w="5575" w:type="dxa"/>
            <w:vAlign w:val="center"/>
          </w:tcPr>
          <w:p>
            <w:pPr>
              <w:spacing w:line="360" w:lineRule="auto"/>
              <w:ind w:firstLine="420" w:firstLineChars="200"/>
              <w:jc w:val="left"/>
              <w:rPr>
                <w:color w:val="auto"/>
              </w:rPr>
            </w:pPr>
            <w:r>
              <w:rPr>
                <w:rFonts w:hint="eastAsia"/>
                <w:color w:val="auto"/>
              </w:rPr>
              <w:t>第一年500人：       元</w:t>
            </w:r>
          </w:p>
          <w:p>
            <w:pPr>
              <w:spacing w:line="360" w:lineRule="auto"/>
              <w:ind w:firstLine="420" w:firstLineChars="200"/>
              <w:jc w:val="left"/>
              <w:rPr>
                <w:color w:val="auto"/>
              </w:rPr>
            </w:pPr>
            <w:r>
              <w:rPr>
                <w:rFonts w:hint="eastAsia"/>
                <w:color w:val="auto"/>
              </w:rPr>
              <w:t>第二年800人：       元</w:t>
            </w:r>
          </w:p>
          <w:p>
            <w:pPr>
              <w:spacing w:line="360" w:lineRule="auto"/>
              <w:ind w:firstLine="420" w:firstLineChars="200"/>
              <w:jc w:val="left"/>
              <w:rPr>
                <w:color w:val="auto"/>
              </w:rPr>
            </w:pPr>
            <w:r>
              <w:rPr>
                <w:rFonts w:hint="eastAsia"/>
                <w:color w:val="auto"/>
              </w:rPr>
              <w:t>第三年1000人：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66" w:type="dxa"/>
            <w:vMerge w:val="continue"/>
            <w:vAlign w:val="center"/>
          </w:tcPr>
          <w:p>
            <w:pPr>
              <w:spacing w:line="360" w:lineRule="auto"/>
              <w:ind w:firstLine="420" w:firstLineChars="200"/>
              <w:jc w:val="left"/>
              <w:rPr>
                <w:color w:val="auto"/>
              </w:rPr>
            </w:pPr>
          </w:p>
        </w:tc>
        <w:tc>
          <w:tcPr>
            <w:tcW w:w="1880" w:type="dxa"/>
            <w:vMerge w:val="continue"/>
            <w:vAlign w:val="center"/>
          </w:tcPr>
          <w:p>
            <w:pPr>
              <w:spacing w:line="360" w:lineRule="auto"/>
              <w:ind w:firstLine="420" w:firstLineChars="200"/>
              <w:jc w:val="left"/>
              <w:rPr>
                <w:color w:val="auto"/>
              </w:rPr>
            </w:pPr>
          </w:p>
        </w:tc>
        <w:tc>
          <w:tcPr>
            <w:tcW w:w="5575" w:type="dxa"/>
            <w:vAlign w:val="center"/>
          </w:tcPr>
          <w:p>
            <w:pPr>
              <w:spacing w:line="360" w:lineRule="auto"/>
              <w:ind w:firstLine="420" w:firstLineChars="200"/>
              <w:jc w:val="left"/>
              <w:rPr>
                <w:color w:val="auto"/>
              </w:rPr>
            </w:pPr>
            <w:r>
              <w:rPr>
                <w:rFonts w:hint="eastAsia"/>
                <w:color w:val="auto"/>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66" w:type="dxa"/>
            <w:vAlign w:val="center"/>
          </w:tcPr>
          <w:p>
            <w:pPr>
              <w:spacing w:line="360" w:lineRule="auto"/>
              <w:ind w:firstLine="420" w:firstLineChars="200"/>
              <w:jc w:val="left"/>
              <w:rPr>
                <w:color w:val="auto"/>
              </w:rPr>
            </w:pPr>
            <w:r>
              <w:rPr>
                <w:rFonts w:hint="eastAsia"/>
                <w:color w:val="auto"/>
              </w:rPr>
              <w:t>3</w:t>
            </w:r>
          </w:p>
        </w:tc>
        <w:tc>
          <w:tcPr>
            <w:tcW w:w="1880" w:type="dxa"/>
            <w:vMerge w:val="restart"/>
            <w:vAlign w:val="center"/>
          </w:tcPr>
          <w:p>
            <w:pPr>
              <w:spacing w:line="360" w:lineRule="auto"/>
              <w:jc w:val="left"/>
              <w:rPr>
                <w:color w:val="auto"/>
              </w:rPr>
            </w:pPr>
            <w:r>
              <w:rPr>
                <w:rFonts w:hint="eastAsia"/>
                <w:color w:val="auto"/>
              </w:rPr>
              <w:t>维护维保</w:t>
            </w:r>
          </w:p>
        </w:tc>
        <w:tc>
          <w:tcPr>
            <w:tcW w:w="5575" w:type="dxa"/>
            <w:vAlign w:val="center"/>
          </w:tcPr>
          <w:p>
            <w:pPr>
              <w:spacing w:line="360" w:lineRule="auto"/>
              <w:ind w:firstLine="420" w:firstLineChars="200"/>
              <w:jc w:val="left"/>
              <w:rPr>
                <w:color w:val="auto"/>
              </w:rPr>
            </w:pPr>
            <w:r>
              <w:rPr>
                <w:rFonts w:hint="eastAsia"/>
                <w:color w:val="auto"/>
              </w:rPr>
              <w:t xml:space="preserve">免费维保期: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66" w:type="dxa"/>
            <w:vAlign w:val="center"/>
          </w:tcPr>
          <w:p>
            <w:pPr>
              <w:spacing w:line="360" w:lineRule="auto"/>
              <w:ind w:firstLine="420" w:firstLineChars="200"/>
              <w:jc w:val="left"/>
              <w:rPr>
                <w:color w:val="auto"/>
              </w:rPr>
            </w:pPr>
            <w:r>
              <w:rPr>
                <w:rFonts w:hint="eastAsia"/>
                <w:color w:val="auto"/>
              </w:rPr>
              <w:t>4</w:t>
            </w:r>
          </w:p>
        </w:tc>
        <w:tc>
          <w:tcPr>
            <w:tcW w:w="1880" w:type="dxa"/>
            <w:vMerge w:val="continue"/>
          </w:tcPr>
          <w:p>
            <w:pPr>
              <w:spacing w:line="360" w:lineRule="auto"/>
              <w:ind w:firstLine="420" w:firstLineChars="200"/>
              <w:jc w:val="left"/>
              <w:rPr>
                <w:color w:val="auto"/>
              </w:rPr>
            </w:pPr>
          </w:p>
        </w:tc>
        <w:tc>
          <w:tcPr>
            <w:tcW w:w="5575" w:type="dxa"/>
            <w:vAlign w:val="center"/>
          </w:tcPr>
          <w:p>
            <w:pPr>
              <w:spacing w:line="360" w:lineRule="auto"/>
              <w:ind w:firstLine="420" w:firstLineChars="200"/>
              <w:jc w:val="left"/>
              <w:rPr>
                <w:color w:val="auto"/>
              </w:rPr>
            </w:pPr>
            <w:r>
              <w:rPr>
                <w:rFonts w:hint="eastAsia"/>
                <w:color w:val="auto"/>
              </w:rPr>
              <w:t>免费维保期满后维保费：总报价的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66" w:type="dxa"/>
            <w:vAlign w:val="center"/>
          </w:tcPr>
          <w:p>
            <w:pPr>
              <w:spacing w:line="360" w:lineRule="auto"/>
              <w:ind w:firstLine="420" w:firstLineChars="200"/>
              <w:jc w:val="left"/>
              <w:rPr>
                <w:color w:val="auto"/>
              </w:rPr>
            </w:pPr>
            <w:r>
              <w:rPr>
                <w:rFonts w:hint="eastAsia"/>
                <w:color w:val="auto"/>
              </w:rPr>
              <w:t>5</w:t>
            </w:r>
          </w:p>
        </w:tc>
        <w:tc>
          <w:tcPr>
            <w:tcW w:w="1880" w:type="dxa"/>
            <w:vAlign w:val="center"/>
          </w:tcPr>
          <w:p>
            <w:pPr>
              <w:spacing w:line="360" w:lineRule="auto"/>
              <w:jc w:val="left"/>
              <w:rPr>
                <w:color w:val="auto"/>
              </w:rPr>
            </w:pPr>
            <w:r>
              <w:rPr>
                <w:rFonts w:hint="eastAsia"/>
                <w:color w:val="auto"/>
              </w:rPr>
              <w:t>企业微信客户容量</w:t>
            </w:r>
          </w:p>
        </w:tc>
        <w:tc>
          <w:tcPr>
            <w:tcW w:w="5575" w:type="dxa"/>
            <w:vAlign w:val="center"/>
          </w:tcPr>
          <w:p>
            <w:pPr>
              <w:spacing w:line="360" w:lineRule="auto"/>
              <w:ind w:firstLine="420" w:firstLineChars="200"/>
              <w:jc w:val="left"/>
              <w:rPr>
                <w:color w:val="auto"/>
              </w:rPr>
            </w:pPr>
            <w:r>
              <w:rPr>
                <w:rFonts w:hint="eastAsia"/>
                <w:color w:val="auto"/>
              </w:rPr>
              <w:t>第一年50万户：       元</w:t>
            </w:r>
          </w:p>
          <w:p>
            <w:pPr>
              <w:spacing w:line="360" w:lineRule="auto"/>
              <w:ind w:firstLine="420" w:firstLineChars="200"/>
              <w:jc w:val="left"/>
              <w:rPr>
                <w:color w:val="auto"/>
              </w:rPr>
            </w:pPr>
            <w:r>
              <w:rPr>
                <w:rFonts w:hint="eastAsia"/>
                <w:color w:val="auto"/>
              </w:rPr>
              <w:t>第二年50万户：       元</w:t>
            </w:r>
          </w:p>
          <w:p>
            <w:pPr>
              <w:spacing w:line="360" w:lineRule="auto"/>
              <w:ind w:firstLine="420" w:firstLineChars="200"/>
              <w:jc w:val="left"/>
              <w:rPr>
                <w:color w:val="auto"/>
              </w:rPr>
            </w:pPr>
            <w:r>
              <w:rPr>
                <w:rFonts w:hint="eastAsia"/>
                <w:color w:val="auto"/>
              </w:rPr>
              <w:t>第三年100万户：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66" w:type="dxa"/>
            <w:vAlign w:val="center"/>
          </w:tcPr>
          <w:p>
            <w:pPr>
              <w:spacing w:line="360" w:lineRule="auto"/>
              <w:ind w:firstLine="420" w:firstLineChars="200"/>
              <w:jc w:val="left"/>
              <w:rPr>
                <w:rFonts w:hint="eastAsia"/>
                <w:color w:val="auto"/>
              </w:rPr>
            </w:pPr>
            <w:r>
              <w:rPr>
                <w:rFonts w:hint="eastAsia"/>
                <w:color w:val="auto"/>
              </w:rPr>
              <w:t>6</w:t>
            </w:r>
          </w:p>
        </w:tc>
        <w:tc>
          <w:tcPr>
            <w:tcW w:w="1880" w:type="dxa"/>
            <w:vAlign w:val="center"/>
          </w:tcPr>
          <w:p>
            <w:pPr>
              <w:spacing w:line="360" w:lineRule="auto"/>
              <w:jc w:val="left"/>
              <w:rPr>
                <w:rFonts w:hint="eastAsia"/>
                <w:color w:val="auto"/>
              </w:rPr>
            </w:pPr>
            <w:r>
              <w:rPr>
                <w:rFonts w:hint="eastAsia"/>
                <w:color w:val="auto"/>
              </w:rPr>
              <w:t>企业认证</w:t>
            </w:r>
          </w:p>
        </w:tc>
        <w:tc>
          <w:tcPr>
            <w:tcW w:w="5575" w:type="dxa"/>
            <w:vAlign w:val="center"/>
          </w:tcPr>
          <w:p>
            <w:pPr>
              <w:spacing w:line="360" w:lineRule="auto"/>
              <w:ind w:firstLine="420" w:firstLineChars="200"/>
              <w:jc w:val="left"/>
              <w:rPr>
                <w:color w:val="auto"/>
              </w:rPr>
            </w:pPr>
            <w:r>
              <w:rPr>
                <w:rFonts w:hint="eastAsia"/>
                <w:color w:val="auto"/>
              </w:rPr>
              <w:t>第一年：       元</w:t>
            </w:r>
          </w:p>
          <w:p>
            <w:pPr>
              <w:spacing w:line="360" w:lineRule="auto"/>
              <w:ind w:firstLine="420" w:firstLineChars="200"/>
              <w:jc w:val="left"/>
              <w:rPr>
                <w:color w:val="auto"/>
              </w:rPr>
            </w:pPr>
            <w:r>
              <w:rPr>
                <w:rFonts w:hint="eastAsia"/>
                <w:color w:val="auto"/>
              </w:rPr>
              <w:t>第二年：       元</w:t>
            </w:r>
          </w:p>
          <w:p>
            <w:pPr>
              <w:spacing w:line="360" w:lineRule="auto"/>
              <w:ind w:firstLine="420" w:firstLineChars="200"/>
              <w:jc w:val="left"/>
              <w:rPr>
                <w:rFonts w:hint="eastAsia"/>
                <w:color w:val="auto"/>
              </w:rPr>
            </w:pPr>
            <w:r>
              <w:rPr>
                <w:rFonts w:hint="eastAsia"/>
                <w:color w:val="auto"/>
              </w:rPr>
              <w:t>第三年：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66" w:type="dxa"/>
            <w:vAlign w:val="center"/>
          </w:tcPr>
          <w:p>
            <w:pPr>
              <w:spacing w:line="360" w:lineRule="auto"/>
              <w:ind w:firstLine="420" w:firstLineChars="200"/>
              <w:jc w:val="left"/>
              <w:rPr>
                <w:rFonts w:hint="eastAsia"/>
                <w:color w:val="auto"/>
              </w:rPr>
            </w:pPr>
            <w:r>
              <w:rPr>
                <w:rFonts w:hint="eastAsia"/>
                <w:color w:val="auto"/>
              </w:rPr>
              <w:t>7</w:t>
            </w:r>
          </w:p>
        </w:tc>
        <w:tc>
          <w:tcPr>
            <w:tcW w:w="1880" w:type="dxa"/>
            <w:vAlign w:val="center"/>
          </w:tcPr>
          <w:p>
            <w:pPr>
              <w:spacing w:line="360" w:lineRule="auto"/>
              <w:jc w:val="left"/>
              <w:rPr>
                <w:rFonts w:hint="eastAsia"/>
                <w:color w:val="auto"/>
              </w:rPr>
            </w:pPr>
            <w:r>
              <w:rPr>
                <w:rFonts w:hint="eastAsia"/>
                <w:color w:val="auto"/>
              </w:rPr>
              <w:t>其它优惠</w:t>
            </w:r>
          </w:p>
        </w:tc>
        <w:tc>
          <w:tcPr>
            <w:tcW w:w="5575" w:type="dxa"/>
            <w:vAlign w:val="center"/>
          </w:tcPr>
          <w:p>
            <w:pPr>
              <w:spacing w:line="360" w:lineRule="auto"/>
              <w:ind w:firstLine="420" w:firstLineChars="200"/>
              <w:jc w:val="left"/>
              <w:rPr>
                <w:rFonts w:hint="eastAsia"/>
                <w:color w:val="auto"/>
              </w:rPr>
            </w:pPr>
          </w:p>
        </w:tc>
      </w:tr>
    </w:tbl>
    <w:p>
      <w:pPr>
        <w:spacing w:line="360" w:lineRule="auto"/>
        <w:ind w:firstLine="422" w:firstLineChars="200"/>
        <w:rPr>
          <w:rFonts w:hint="eastAsia"/>
          <w:b/>
          <w:color w:val="auto"/>
        </w:rPr>
      </w:pPr>
    </w:p>
    <w:p>
      <w:pPr>
        <w:spacing w:line="360" w:lineRule="auto"/>
        <w:ind w:firstLine="422" w:firstLineChars="200"/>
        <w:rPr>
          <w:rFonts w:hint="eastAsia"/>
          <w:b/>
          <w:color w:val="auto"/>
        </w:rPr>
      </w:pPr>
    </w:p>
    <w:p>
      <w:pPr>
        <w:spacing w:line="360" w:lineRule="auto"/>
        <w:ind w:firstLine="422" w:firstLineChars="200"/>
        <w:rPr>
          <w:b/>
          <w:color w:val="auto"/>
        </w:rPr>
      </w:pPr>
      <w:r>
        <w:rPr>
          <w:rFonts w:hint="eastAsia"/>
          <w:b/>
          <w:color w:val="auto"/>
        </w:rPr>
        <w:t>备注：</w:t>
      </w:r>
    </w:p>
    <w:p>
      <w:pPr>
        <w:spacing w:line="360" w:lineRule="auto"/>
        <w:ind w:firstLine="420" w:firstLineChars="200"/>
        <w:rPr>
          <w:color w:val="auto"/>
        </w:rPr>
      </w:pPr>
      <w:r>
        <w:rPr>
          <w:rFonts w:hint="eastAsia"/>
          <w:color w:val="auto"/>
        </w:rPr>
        <w:t>1、以上报价包括设备、设备配件的采购和运输费用、安装调试费用、设备集成费用、培训和售后服务费用、各种税金、保险费等全部投标费用（售后服务费用包括设备维保费，按年计算维保费用）。</w:t>
      </w:r>
    </w:p>
    <w:p>
      <w:pPr>
        <w:spacing w:line="360" w:lineRule="auto"/>
        <w:ind w:firstLine="420" w:firstLineChars="200"/>
        <w:rPr>
          <w:color w:val="auto"/>
        </w:rPr>
      </w:pPr>
      <w:r>
        <w:rPr>
          <w:rFonts w:hint="eastAsia"/>
          <w:color w:val="auto"/>
        </w:rPr>
        <w:t>2、为了便于评标，本投标报价表要求一式两份，一份单独装入小信封进行密封，并注明“投标报价表”字样，放置在投标文件的“开标一览表”信封中，另一份装订在投标文件的“商务部分”之中。</w:t>
      </w:r>
    </w:p>
    <w:p>
      <w:pPr>
        <w:pStyle w:val="2"/>
        <w:rPr>
          <w:color w:val="auto"/>
          <w:lang w:val="en-US"/>
        </w:rPr>
      </w:pPr>
    </w:p>
    <w:p>
      <w:pPr>
        <w:spacing w:line="360" w:lineRule="auto"/>
        <w:ind w:firstLine="422" w:firstLineChars="200"/>
        <w:rPr>
          <w:color w:val="auto"/>
        </w:rPr>
      </w:pPr>
      <w:r>
        <w:rPr>
          <w:rFonts w:hint="eastAsia"/>
          <w:b/>
          <w:color w:val="auto"/>
        </w:rPr>
        <w:t>说明：</w:t>
      </w:r>
      <w:r>
        <w:rPr>
          <w:rFonts w:hint="eastAsia"/>
          <w:color w:val="auto"/>
        </w:rPr>
        <w:t>如果有其它优惠条件，可以在开标一览表的备注中说明。</w:t>
      </w:r>
    </w:p>
    <w:p>
      <w:pPr>
        <w:spacing w:line="360" w:lineRule="auto"/>
        <w:ind w:firstLine="420" w:firstLineChars="200"/>
        <w:rPr>
          <w:rFonts w:ascii="楷体_GB2312"/>
          <w:color w:val="auto"/>
        </w:rPr>
      </w:pPr>
    </w:p>
    <w:p>
      <w:pPr>
        <w:spacing w:line="360" w:lineRule="auto"/>
        <w:ind w:firstLine="420" w:firstLineChars="200"/>
        <w:rPr>
          <w:color w:val="auto"/>
        </w:rPr>
      </w:pPr>
      <w:r>
        <w:rPr>
          <w:rFonts w:hint="eastAsia"/>
          <w:color w:val="auto"/>
        </w:rPr>
        <w:t>投标人名称:__________________________________</w:t>
      </w:r>
    </w:p>
    <w:p>
      <w:pPr>
        <w:spacing w:line="360" w:lineRule="auto"/>
        <w:ind w:firstLine="420" w:firstLineChars="200"/>
        <w:rPr>
          <w:color w:val="auto"/>
        </w:rPr>
      </w:pPr>
      <w:r>
        <w:rPr>
          <w:rFonts w:hint="eastAsia"/>
          <w:color w:val="auto"/>
        </w:rPr>
        <w:t>投标人单位盖章:______________________________</w:t>
      </w:r>
    </w:p>
    <w:p>
      <w:pPr>
        <w:spacing w:line="360" w:lineRule="auto"/>
        <w:ind w:firstLine="420" w:firstLineChars="200"/>
        <w:rPr>
          <w:color w:val="auto"/>
        </w:rPr>
      </w:pPr>
      <w:r>
        <w:rPr>
          <w:rFonts w:hint="eastAsia"/>
          <w:color w:val="auto"/>
        </w:rPr>
        <w:t xml:space="preserve">投标人代表签字：                             </w:t>
      </w:r>
    </w:p>
    <w:p>
      <w:pPr>
        <w:spacing w:line="360" w:lineRule="auto"/>
        <w:ind w:firstLine="420" w:firstLineChars="200"/>
        <w:rPr>
          <w:color w:val="auto"/>
        </w:rPr>
      </w:pPr>
      <w:r>
        <w:rPr>
          <w:rFonts w:hint="eastAsia"/>
          <w:color w:val="auto"/>
        </w:rPr>
        <w:t>日期：</w:t>
      </w:r>
    </w:p>
    <w:p>
      <w:pPr>
        <w:rPr>
          <w:color w:val="auto"/>
        </w:rPr>
      </w:pPr>
      <w:r>
        <w:rPr>
          <w:rFonts w:hint="eastAsia"/>
          <w:color w:val="auto"/>
        </w:rPr>
        <w:br w:type="page"/>
      </w:r>
    </w:p>
    <w:p>
      <w:pPr>
        <w:rPr>
          <w:rFonts w:ascii="宋体" w:hAnsi="宋体"/>
          <w:color w:val="auto"/>
          <w:szCs w:val="21"/>
        </w:rPr>
      </w:pPr>
    </w:p>
    <w:p>
      <w:pPr>
        <w:pStyle w:val="9"/>
        <w:numPr>
          <w:ilvl w:val="0"/>
          <w:numId w:val="5"/>
        </w:numPr>
        <w:rPr>
          <w:color w:val="auto"/>
        </w:rPr>
      </w:pPr>
      <w:bookmarkStart w:id="36" w:name="_Toc67558720"/>
      <w:r>
        <w:rPr>
          <w:rFonts w:hint="eastAsia"/>
          <w:color w:val="auto"/>
        </w:rPr>
        <w:t>法定代表人授权委托书格式</w:t>
      </w:r>
      <w:bookmarkEnd w:id="36"/>
    </w:p>
    <w:p>
      <w:pPr>
        <w:adjustRightInd w:val="0"/>
        <w:snapToGrid w:val="0"/>
        <w:spacing w:line="360" w:lineRule="auto"/>
        <w:rPr>
          <w:rFonts w:ascii="宋体"/>
          <w:color w:val="auto"/>
        </w:rPr>
      </w:pPr>
    </w:p>
    <w:p>
      <w:pPr>
        <w:pStyle w:val="18"/>
        <w:jc w:val="center"/>
        <w:rPr>
          <w:b/>
          <w:color w:val="auto"/>
          <w:sz w:val="32"/>
        </w:rPr>
      </w:pPr>
      <w:r>
        <w:rPr>
          <w:rFonts w:hint="eastAsia"/>
          <w:b/>
          <w:color w:val="auto"/>
          <w:sz w:val="32"/>
        </w:rPr>
        <w:t>法定代表人授权委托书</w:t>
      </w:r>
    </w:p>
    <w:p>
      <w:pPr>
        <w:pStyle w:val="18"/>
        <w:rPr>
          <w:color w:val="auto"/>
        </w:rPr>
      </w:pPr>
    </w:p>
    <w:p>
      <w:pPr>
        <w:pStyle w:val="18"/>
        <w:rPr>
          <w:color w:val="auto"/>
          <w:sz w:val="24"/>
        </w:rPr>
      </w:pPr>
      <w:r>
        <w:rPr>
          <w:rFonts w:hint="eastAsia"/>
          <w:color w:val="auto"/>
        </w:rPr>
        <w:t>致</w:t>
      </w:r>
      <w:r>
        <w:rPr>
          <w:rFonts w:hint="eastAsia"/>
          <w:color w:val="auto"/>
          <w:sz w:val="24"/>
        </w:rPr>
        <w:t>:</w:t>
      </w:r>
      <w:r>
        <w:rPr>
          <w:rFonts w:hint="eastAsia"/>
          <w:color w:val="auto"/>
        </w:rPr>
        <w:t>四川天府银行</w:t>
      </w:r>
    </w:p>
    <w:p>
      <w:pPr>
        <w:pStyle w:val="18"/>
        <w:ind w:firstLine="400" w:firstLineChars="200"/>
        <w:rPr>
          <w:color w:val="auto"/>
        </w:rPr>
      </w:pPr>
      <w:r>
        <w:rPr>
          <w:rFonts w:hint="eastAsia"/>
          <w:color w:val="auto"/>
        </w:rPr>
        <w:t>本授权书声明：</w:t>
      </w:r>
      <w:r>
        <w:rPr>
          <w:rFonts w:hint="eastAsia"/>
          <w:i/>
          <w:color w:val="auto"/>
          <w:u w:val="single"/>
        </w:rPr>
        <w:t>（法定代表人姓名）</w:t>
      </w:r>
      <w:r>
        <w:rPr>
          <w:rFonts w:hint="eastAsia"/>
          <w:color w:val="auto"/>
        </w:rPr>
        <w:t>为本公司（注册于</w:t>
      </w:r>
      <w:r>
        <w:rPr>
          <w:rFonts w:hint="eastAsia"/>
          <w:i/>
          <w:color w:val="auto"/>
        </w:rPr>
        <w:t>（</w:t>
      </w:r>
      <w:r>
        <w:rPr>
          <w:rFonts w:hint="eastAsia"/>
          <w:i/>
          <w:color w:val="auto"/>
          <w:u w:val="single"/>
        </w:rPr>
        <w:t>省、市、县）</w:t>
      </w:r>
      <w:r>
        <w:rPr>
          <w:rFonts w:hint="eastAsia"/>
          <w:color w:val="auto"/>
        </w:rPr>
        <w:t>的</w:t>
      </w:r>
      <w:r>
        <w:rPr>
          <w:rFonts w:hint="eastAsia"/>
          <w:i/>
          <w:color w:val="auto"/>
          <w:u w:val="single"/>
        </w:rPr>
        <w:t>（投标人名称）</w:t>
      </w:r>
      <w:r>
        <w:rPr>
          <w:rFonts w:hint="eastAsia"/>
          <w:color w:val="auto"/>
        </w:rPr>
        <w:t>）的法定代表人，现任</w:t>
      </w:r>
      <w:r>
        <w:rPr>
          <w:rFonts w:hint="eastAsia"/>
          <w:i/>
          <w:color w:val="auto"/>
          <w:u w:val="single"/>
        </w:rPr>
        <w:t>（法定代表人职务）</w:t>
      </w:r>
      <w:r>
        <w:rPr>
          <w:rFonts w:hint="eastAsia"/>
          <w:color w:val="auto"/>
        </w:rPr>
        <w:t>。在此代表本企业授权</w:t>
      </w:r>
      <w:r>
        <w:rPr>
          <w:rFonts w:hint="eastAsia"/>
          <w:i/>
          <w:color w:val="auto"/>
          <w:u w:val="single"/>
        </w:rPr>
        <w:t>（被授权人姓名、职务）</w:t>
      </w:r>
      <w:r>
        <w:rPr>
          <w:rFonts w:hint="eastAsia"/>
          <w:color w:val="auto"/>
        </w:rPr>
        <w:t>作为我公司的全权代理人，在</w:t>
      </w:r>
      <w:r>
        <w:rPr>
          <w:rFonts w:hint="eastAsia"/>
          <w:i/>
          <w:color w:val="auto"/>
          <w:u w:val="single"/>
        </w:rPr>
        <w:t>（项目名称）</w:t>
      </w:r>
      <w:r>
        <w:rPr>
          <w:rFonts w:hint="eastAsia"/>
          <w:color w:val="auto"/>
        </w:rPr>
        <w:t>的投标及其合同执行过程中，以我方的名义处理一切与之有关的事务。</w:t>
      </w:r>
    </w:p>
    <w:p>
      <w:pPr>
        <w:pStyle w:val="18"/>
        <w:rPr>
          <w:color w:val="auto"/>
        </w:rPr>
      </w:pPr>
    </w:p>
    <w:p>
      <w:pPr>
        <w:pStyle w:val="18"/>
        <w:rPr>
          <w:color w:val="auto"/>
        </w:rPr>
      </w:pPr>
    </w:p>
    <w:p>
      <w:pPr>
        <w:ind w:firstLine="420" w:firstLineChars="200"/>
        <w:rPr>
          <w:rFonts w:ascii="宋体"/>
          <w:color w:val="auto"/>
        </w:rPr>
      </w:pPr>
      <w:r>
        <w:rPr>
          <w:rFonts w:hint="eastAsia" w:ascii="宋体"/>
          <w:color w:val="auto"/>
        </w:rPr>
        <w:t>本授权书于年月日签字生效，特此声明。</w:t>
      </w: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ind w:left="1159" w:leftChars="552" w:firstLine="2261"/>
        <w:rPr>
          <w:rFonts w:ascii="宋体"/>
          <w:color w:val="auto"/>
        </w:rPr>
      </w:pPr>
      <w:r>
        <w:rPr>
          <w:rFonts w:hint="eastAsia" w:ascii="宋体"/>
          <w:color w:val="auto"/>
        </w:rPr>
        <w:t>投标人（公章）：</w:t>
      </w:r>
    </w:p>
    <w:p>
      <w:pPr>
        <w:ind w:left="1159" w:leftChars="552" w:firstLine="2261"/>
        <w:rPr>
          <w:rFonts w:ascii="宋体"/>
          <w:color w:val="auto"/>
        </w:rPr>
      </w:pPr>
    </w:p>
    <w:p>
      <w:pPr>
        <w:ind w:left="1159" w:leftChars="552" w:firstLine="2261"/>
        <w:rPr>
          <w:rFonts w:ascii="宋体"/>
          <w:color w:val="auto"/>
        </w:rPr>
      </w:pPr>
      <w:r>
        <w:rPr>
          <w:rFonts w:hint="eastAsia" w:ascii="宋体"/>
          <w:color w:val="auto"/>
        </w:rPr>
        <w:t>地      址：</w:t>
      </w:r>
    </w:p>
    <w:p>
      <w:pPr>
        <w:ind w:left="1159" w:leftChars="552" w:firstLine="2261"/>
        <w:rPr>
          <w:rFonts w:ascii="宋体"/>
          <w:color w:val="auto"/>
        </w:rPr>
      </w:pPr>
    </w:p>
    <w:p>
      <w:pPr>
        <w:tabs>
          <w:tab w:val="left" w:pos="3780"/>
        </w:tabs>
        <w:ind w:left="1159" w:leftChars="552" w:firstLine="2261"/>
        <w:rPr>
          <w:rFonts w:ascii="宋体"/>
          <w:color w:val="auto"/>
        </w:rPr>
      </w:pPr>
      <w:r>
        <w:rPr>
          <w:rFonts w:hint="eastAsia" w:ascii="宋体"/>
          <w:color w:val="auto"/>
        </w:rPr>
        <w:t>法定代表人（签字或盖章）：</w:t>
      </w:r>
    </w:p>
    <w:p>
      <w:pPr>
        <w:ind w:left="1159" w:leftChars="552" w:firstLine="2261"/>
        <w:rPr>
          <w:rFonts w:ascii="宋体"/>
          <w:color w:val="auto"/>
        </w:rPr>
      </w:pPr>
    </w:p>
    <w:p>
      <w:pPr>
        <w:ind w:left="1159" w:leftChars="552" w:firstLine="2261"/>
        <w:rPr>
          <w:rFonts w:ascii="宋体"/>
          <w:color w:val="auto"/>
        </w:rPr>
      </w:pPr>
      <w:r>
        <w:rPr>
          <w:rFonts w:hint="eastAsia" w:ascii="宋体"/>
          <w:color w:val="auto"/>
          <w:spacing w:val="20"/>
        </w:rPr>
        <w:t>被授权人（签字或盖章）</w:t>
      </w:r>
      <w:r>
        <w:rPr>
          <w:rFonts w:hint="eastAsia" w:ascii="宋体"/>
          <w:color w:val="auto"/>
        </w:rPr>
        <w:t>：</w:t>
      </w:r>
    </w:p>
    <w:p>
      <w:pPr>
        <w:ind w:left="1159" w:leftChars="552" w:firstLine="2261"/>
        <w:rPr>
          <w:rFonts w:ascii="宋体"/>
          <w:color w:val="auto"/>
        </w:rPr>
      </w:pPr>
    </w:p>
    <w:p>
      <w:pPr>
        <w:ind w:left="1159" w:leftChars="552" w:firstLine="2261"/>
        <w:rPr>
          <w:rFonts w:ascii="宋体"/>
          <w:color w:val="auto"/>
        </w:rPr>
      </w:pPr>
      <w:r>
        <w:rPr>
          <w:rFonts w:ascii="宋体"/>
          <w:color w:val="auto"/>
        </w:rPr>
        <w:br w:type="page"/>
      </w:r>
    </w:p>
    <w:p>
      <w:pPr>
        <w:pStyle w:val="9"/>
        <w:numPr>
          <w:ilvl w:val="0"/>
          <w:numId w:val="5"/>
        </w:numPr>
        <w:rPr>
          <w:color w:val="auto"/>
        </w:rPr>
      </w:pPr>
      <w:bookmarkStart w:id="37" w:name="_Toc67558721"/>
      <w:r>
        <w:rPr>
          <w:rFonts w:hint="eastAsia"/>
          <w:color w:val="auto"/>
        </w:rPr>
        <w:t>资格声明格式</w:t>
      </w:r>
      <w:bookmarkEnd w:id="37"/>
    </w:p>
    <w:p>
      <w:pPr>
        <w:spacing w:before="120"/>
        <w:jc w:val="center"/>
        <w:rPr>
          <w:rFonts w:ascii="宋体"/>
          <w:b/>
          <w:color w:val="auto"/>
          <w:sz w:val="32"/>
        </w:rPr>
      </w:pPr>
      <w:r>
        <w:rPr>
          <w:rFonts w:hint="eastAsia" w:ascii="宋体"/>
          <w:b/>
          <w:color w:val="auto"/>
          <w:sz w:val="32"/>
        </w:rPr>
        <w:t>资 格 声 明</w:t>
      </w:r>
    </w:p>
    <w:p>
      <w:pPr>
        <w:rPr>
          <w:rFonts w:ascii="宋体"/>
          <w:color w:val="auto"/>
          <w:sz w:val="24"/>
        </w:rPr>
      </w:pPr>
      <w:r>
        <w:rPr>
          <w:rFonts w:hint="eastAsia" w:ascii="宋体"/>
          <w:color w:val="auto"/>
        </w:rPr>
        <w:t>致：四川天府银行</w:t>
      </w:r>
      <w:r>
        <w:rPr>
          <w:rFonts w:hint="eastAsia" w:ascii="宋体"/>
          <w:color w:val="auto"/>
          <w:sz w:val="24"/>
        </w:rPr>
        <w:t>：</w:t>
      </w:r>
    </w:p>
    <w:p>
      <w:pPr>
        <w:ind w:firstLine="420" w:firstLineChars="200"/>
        <w:rPr>
          <w:color w:val="auto"/>
        </w:rPr>
      </w:pPr>
      <w:r>
        <w:rPr>
          <w:rFonts w:hint="eastAsia" w:ascii="宋体"/>
          <w:color w:val="auto"/>
        </w:rPr>
        <w:t>下述投标人愿响应你方年月日的投标邀请，参与投标，提供符合产品需</w:t>
      </w:r>
      <w:r>
        <w:rPr>
          <w:rFonts w:hint="eastAsia"/>
          <w:color w:val="auto"/>
        </w:rPr>
        <w:t>求说明书中规定的产品，并按招标文件要求提交所附资格文件且声明和保证如下：</w:t>
      </w:r>
    </w:p>
    <w:p>
      <w:pPr>
        <w:ind w:firstLine="420" w:firstLineChars="200"/>
        <w:rPr>
          <w:color w:val="auto"/>
        </w:rPr>
      </w:pPr>
      <w:r>
        <w:rPr>
          <w:rFonts w:hint="eastAsia"/>
          <w:color w:val="auto"/>
        </w:rPr>
        <w:t>1、我方所提交的所有文件材料是真实的、完整的、合法的、有效的，我方愿为其真实性、完整性、合法性、有效性承担法律责任；</w:t>
      </w:r>
    </w:p>
    <w:p>
      <w:pPr>
        <w:ind w:firstLine="420" w:firstLineChars="200"/>
        <w:rPr>
          <w:color w:val="auto"/>
        </w:rPr>
      </w:pPr>
      <w:r>
        <w:rPr>
          <w:rFonts w:hint="eastAsia"/>
          <w:color w:val="auto"/>
        </w:rPr>
        <w:t>2、我方是依法注册的法人，在法律上、财务上和运作上完全独立于招标人。</w:t>
      </w:r>
    </w:p>
    <w:p>
      <w:pPr>
        <w:ind w:firstLine="420" w:firstLineChars="200"/>
        <w:rPr>
          <w:color w:val="auto"/>
        </w:rPr>
      </w:pPr>
      <w:r>
        <w:rPr>
          <w:rFonts w:hint="eastAsia"/>
          <w:color w:val="auto"/>
        </w:rPr>
        <w:t>3、我方在参加本次投标前年内，在经营活动及参与有关采购活动中没有重大违法活动及涉嫌违规行为，并没有因而被有关部门警告或处分的记录。</w:t>
      </w:r>
    </w:p>
    <w:p>
      <w:pPr>
        <w:autoSpaceDE w:val="0"/>
        <w:autoSpaceDN w:val="0"/>
        <w:adjustRightInd w:val="0"/>
        <w:ind w:firstLine="420" w:firstLineChars="200"/>
        <w:rPr>
          <w:rFonts w:ascii="宋体"/>
          <w:color w:val="auto"/>
        </w:rPr>
      </w:pPr>
      <w:r>
        <w:rPr>
          <w:rFonts w:hint="eastAsia" w:ascii="宋体"/>
          <w:color w:val="auto"/>
        </w:rPr>
        <w:t>4</w:t>
      </w:r>
      <w:r>
        <w:rPr>
          <w:rFonts w:ascii="宋体"/>
          <w:color w:val="auto"/>
        </w:rPr>
        <w:t xml:space="preserve">. </w:t>
      </w:r>
      <w:r>
        <w:rPr>
          <w:rFonts w:hint="eastAsia" w:ascii="宋体"/>
          <w:color w:val="auto"/>
        </w:rPr>
        <w:t>我方提供的产品及相关服务与招标文件的要求一致。</w:t>
      </w:r>
    </w:p>
    <w:p>
      <w:pPr>
        <w:autoSpaceDE w:val="0"/>
        <w:autoSpaceDN w:val="0"/>
        <w:adjustRightInd w:val="0"/>
        <w:ind w:firstLine="420" w:firstLineChars="200"/>
        <w:rPr>
          <w:rFonts w:ascii="宋体"/>
          <w:color w:val="auto"/>
        </w:rPr>
      </w:pPr>
      <w:r>
        <w:rPr>
          <w:rFonts w:hint="eastAsia" w:ascii="宋体"/>
          <w:color w:val="auto"/>
        </w:rPr>
        <w:t>5</w:t>
      </w:r>
      <w:r>
        <w:rPr>
          <w:rFonts w:ascii="宋体"/>
          <w:color w:val="auto"/>
        </w:rPr>
        <w:t xml:space="preserve">. </w:t>
      </w:r>
      <w:r>
        <w:rPr>
          <w:rFonts w:hint="eastAsia" w:ascii="宋体"/>
          <w:color w:val="auto"/>
        </w:rPr>
        <w:t>我方提供的所有产品、技术及服务的原产地均应来自中华人民共和国或是与中华人民共和国有正常贸易往来的国家或地区。我方在投标文件中确认拟提供的、为实施、完成和维护本项目所需的一切产品、服务或技术，均能够通过一般行政程序获得出口国政府的出口许可。</w:t>
      </w:r>
      <w:r>
        <w:rPr>
          <w:rFonts w:hint="eastAsia"/>
          <w:color w:val="auto"/>
        </w:rPr>
        <w:t>招标人</w:t>
      </w:r>
      <w:r>
        <w:rPr>
          <w:rFonts w:hint="eastAsia" w:ascii="宋体"/>
          <w:color w:val="auto"/>
        </w:rPr>
        <w:t>仅就符合该条件的产品、技术和服务按照合同的规定支付价款，对于因无法获得出口国政府的出口许可而无法提供的产品、技术和服务，我方将自行承担损失，并赔偿因无法获得出口许可而给招标人造成的损失。</w:t>
      </w:r>
    </w:p>
    <w:p>
      <w:pPr>
        <w:autoSpaceDE w:val="0"/>
        <w:autoSpaceDN w:val="0"/>
        <w:adjustRightInd w:val="0"/>
        <w:ind w:firstLine="420" w:firstLineChars="200"/>
        <w:rPr>
          <w:rFonts w:ascii="宋体"/>
          <w:color w:val="auto"/>
        </w:rPr>
      </w:pPr>
      <w:r>
        <w:rPr>
          <w:rFonts w:hint="eastAsia" w:ascii="宋体"/>
          <w:color w:val="auto"/>
        </w:rPr>
        <w:t>6</w:t>
      </w:r>
      <w:r>
        <w:rPr>
          <w:rFonts w:ascii="宋体"/>
          <w:color w:val="auto"/>
        </w:rPr>
        <w:t xml:space="preserve">. </w:t>
      </w:r>
      <w:r>
        <w:rPr>
          <w:rFonts w:hint="eastAsia" w:ascii="宋体"/>
          <w:color w:val="auto"/>
        </w:rPr>
        <w:t>我方在递交投标文件之前或同时，应当自行负责调查、评估其所在国家或地区法律或政府政策对于其向</w:t>
      </w:r>
      <w:r>
        <w:rPr>
          <w:rFonts w:hint="eastAsia"/>
          <w:color w:val="auto"/>
        </w:rPr>
        <w:t>招标</w:t>
      </w:r>
      <w:r>
        <w:rPr>
          <w:rFonts w:hint="eastAsia" w:ascii="宋体"/>
          <w:color w:val="auto"/>
        </w:rPr>
        <w:t>人供应本项目所需的软件、系统、技术等一切产品和服务可能涉及或存在的批准、审查、许可证、登记、备案或其他类似的要求或障碍，并应当向</w:t>
      </w:r>
      <w:r>
        <w:rPr>
          <w:rFonts w:hint="eastAsia"/>
          <w:color w:val="auto"/>
        </w:rPr>
        <w:t>招标</w:t>
      </w:r>
      <w:r>
        <w:rPr>
          <w:rFonts w:hint="eastAsia" w:ascii="宋体"/>
          <w:color w:val="auto"/>
        </w:rPr>
        <w:t>人充分披露该要求或障碍（如有），以及其可能需要的程序、时间、导致的技术或法律上的影响。如果我方未能履行这一披露和提示义务，而在项目谈判或签约后的过程中导致本项目谈判或实施进程的中断、延误、障碍或其他损失，我方自行承担相应的赔偿责任。</w:t>
      </w:r>
    </w:p>
    <w:p>
      <w:pPr>
        <w:autoSpaceDE w:val="0"/>
        <w:autoSpaceDN w:val="0"/>
        <w:adjustRightInd w:val="0"/>
        <w:ind w:firstLine="420" w:firstLineChars="200"/>
        <w:rPr>
          <w:rFonts w:ascii="宋体"/>
          <w:color w:val="auto"/>
        </w:rPr>
      </w:pPr>
      <w:r>
        <w:rPr>
          <w:rFonts w:hint="eastAsia" w:ascii="宋体"/>
          <w:color w:val="auto"/>
        </w:rPr>
        <w:t>7</w:t>
      </w:r>
      <w:r>
        <w:rPr>
          <w:rFonts w:ascii="宋体"/>
          <w:color w:val="auto"/>
        </w:rPr>
        <w:t xml:space="preserve">. </w:t>
      </w:r>
      <w:r>
        <w:rPr>
          <w:rFonts w:hint="eastAsia" w:ascii="宋体"/>
          <w:color w:val="auto"/>
        </w:rPr>
        <w:t>我方保证，我方已经从其合法所有人得到了合法、适当的授权，并保证其产品、技术和服务均不侵犯任何第三人的版权、专利权、商标权或其他形式的知识产权，亦不侵犯任何第三人的商业秘密或其他权利。招标人有权因为我方提供虚假、错误或误导性信息而拒绝我方参加投标，并保留依照所适用法律可能享有的进一步追诉的所有权利。</w:t>
      </w:r>
    </w:p>
    <w:p>
      <w:pPr>
        <w:autoSpaceDE w:val="0"/>
        <w:autoSpaceDN w:val="0"/>
        <w:adjustRightInd w:val="0"/>
        <w:ind w:firstLine="420" w:firstLineChars="200"/>
        <w:rPr>
          <w:rFonts w:ascii="宋体"/>
          <w:color w:val="auto"/>
        </w:rPr>
      </w:pPr>
      <w:r>
        <w:rPr>
          <w:rFonts w:hint="eastAsia" w:ascii="宋体"/>
          <w:color w:val="auto"/>
        </w:rPr>
        <w:t>8</w:t>
      </w:r>
      <w:r>
        <w:rPr>
          <w:rFonts w:ascii="宋体"/>
          <w:color w:val="auto"/>
        </w:rPr>
        <w:t xml:space="preserve">. </w:t>
      </w:r>
      <w:r>
        <w:rPr>
          <w:rFonts w:hint="eastAsia" w:ascii="宋体"/>
          <w:color w:val="auto"/>
        </w:rPr>
        <w:t>我方保证，招标人在中华人民共和国使用产品或产品的任何一部分时，如因使用我方提供的产品或服务而受到第三方关于侵犯版权、专利权、商标权或其他形式的知识产权的指控或其它指控，由我方与该第三方交涉，采取措施使招标人免受第三方提出侵犯其专利权或其它知识产权的起诉，并对招标人承担相应的赔偿责任。</w:t>
      </w:r>
    </w:p>
    <w:p>
      <w:pPr>
        <w:ind w:firstLine="420" w:firstLineChars="200"/>
        <w:rPr>
          <w:rFonts w:ascii="宋体"/>
          <w:color w:val="auto"/>
        </w:rPr>
      </w:pPr>
      <w:r>
        <w:rPr>
          <w:rFonts w:hint="eastAsia" w:ascii="宋体"/>
          <w:color w:val="auto"/>
        </w:rPr>
        <w:t>我公司承诺，上述声明及保证均为真实、有效的，如存在隐瞒、欺骗等情形，由此产生的一切后果，由我方自行承担。</w:t>
      </w:r>
    </w:p>
    <w:p>
      <w:pPr>
        <w:ind w:firstLine="420" w:firstLineChars="200"/>
        <w:rPr>
          <w:rFonts w:ascii="宋体"/>
          <w:color w:val="auto"/>
        </w:rPr>
      </w:pPr>
      <w:r>
        <w:rPr>
          <w:rFonts w:hint="eastAsia" w:ascii="宋体"/>
          <w:color w:val="auto"/>
        </w:rPr>
        <w:t>特此声明！</w:t>
      </w:r>
    </w:p>
    <w:p>
      <w:pPr>
        <w:ind w:left="540"/>
        <w:rPr>
          <w:rFonts w:ascii="宋体"/>
          <w:color w:val="auto"/>
        </w:rPr>
      </w:pPr>
    </w:p>
    <w:p>
      <w:pPr>
        <w:pStyle w:val="18"/>
        <w:tabs>
          <w:tab w:val="left" w:pos="4500"/>
        </w:tabs>
        <w:ind w:left="208" w:leftChars="99" w:firstLine="514" w:firstLineChars="257"/>
        <w:rPr>
          <w:color w:val="auto"/>
        </w:rPr>
      </w:pPr>
    </w:p>
    <w:p>
      <w:pPr>
        <w:pStyle w:val="18"/>
        <w:tabs>
          <w:tab w:val="left" w:pos="4500"/>
        </w:tabs>
        <w:ind w:left="208" w:leftChars="99" w:firstLine="514" w:firstLineChars="257"/>
        <w:rPr>
          <w:color w:val="auto"/>
        </w:rPr>
      </w:pPr>
      <w:r>
        <w:rPr>
          <w:rFonts w:hint="eastAsia"/>
          <w:color w:val="auto"/>
        </w:rPr>
        <w:t>投标人（公章）</w:t>
      </w:r>
      <w:r>
        <w:rPr>
          <w:rFonts w:hint="eastAsia"/>
          <w:color w:val="auto"/>
        </w:rPr>
        <w:tab/>
      </w:r>
      <w:r>
        <w:rPr>
          <w:rFonts w:hint="eastAsia"/>
          <w:color w:val="auto"/>
        </w:rPr>
        <w:t>授权签字人</w:t>
      </w:r>
    </w:p>
    <w:p>
      <w:pPr>
        <w:pStyle w:val="18"/>
        <w:tabs>
          <w:tab w:val="left" w:pos="4500"/>
        </w:tabs>
        <w:ind w:left="208" w:leftChars="99" w:firstLine="514" w:firstLineChars="257"/>
        <w:rPr>
          <w:color w:val="auto"/>
        </w:rPr>
      </w:pPr>
      <w:r>
        <w:rPr>
          <w:rFonts w:hint="eastAsia"/>
          <w:color w:val="auto"/>
        </w:rPr>
        <w:t>名称：</w:t>
      </w:r>
      <w:r>
        <w:rPr>
          <w:rFonts w:hint="eastAsia"/>
          <w:color w:val="auto"/>
        </w:rPr>
        <w:tab/>
      </w:r>
      <w:r>
        <w:rPr>
          <w:rFonts w:hint="eastAsia"/>
          <w:color w:val="auto"/>
        </w:rPr>
        <w:t>姓名：</w:t>
      </w:r>
    </w:p>
    <w:p>
      <w:pPr>
        <w:pStyle w:val="18"/>
        <w:tabs>
          <w:tab w:val="left" w:pos="4500"/>
        </w:tabs>
        <w:ind w:left="208" w:leftChars="99" w:firstLine="514" w:firstLineChars="257"/>
        <w:rPr>
          <w:color w:val="auto"/>
          <w:u w:val="single"/>
        </w:rPr>
      </w:pPr>
      <w:r>
        <w:rPr>
          <w:rFonts w:hint="eastAsia"/>
          <w:color w:val="auto"/>
        </w:rPr>
        <w:t>地址：</w:t>
      </w:r>
      <w:r>
        <w:rPr>
          <w:rFonts w:hint="eastAsia"/>
          <w:color w:val="auto"/>
        </w:rPr>
        <w:tab/>
      </w:r>
      <w:r>
        <w:rPr>
          <w:rFonts w:hint="eastAsia"/>
          <w:color w:val="auto"/>
        </w:rPr>
        <w:t>职务：</w:t>
      </w:r>
    </w:p>
    <w:p>
      <w:pPr>
        <w:pStyle w:val="18"/>
        <w:tabs>
          <w:tab w:val="left" w:pos="4500"/>
        </w:tabs>
        <w:ind w:left="208" w:leftChars="99" w:firstLine="514" w:firstLineChars="257"/>
        <w:rPr>
          <w:color w:val="auto"/>
          <w:u w:val="single"/>
        </w:rPr>
      </w:pPr>
      <w:r>
        <w:rPr>
          <w:rFonts w:hint="eastAsia"/>
          <w:color w:val="auto"/>
        </w:rPr>
        <w:t>邮编：</w:t>
      </w:r>
      <w:r>
        <w:rPr>
          <w:rFonts w:hint="eastAsia"/>
          <w:color w:val="auto"/>
        </w:rPr>
        <w:tab/>
      </w:r>
      <w:r>
        <w:rPr>
          <w:rFonts w:hint="eastAsia"/>
          <w:color w:val="auto"/>
        </w:rPr>
        <w:t>签名：</w:t>
      </w:r>
    </w:p>
    <w:p>
      <w:pPr>
        <w:tabs>
          <w:tab w:val="left" w:pos="4500"/>
        </w:tabs>
        <w:ind w:left="208" w:leftChars="99" w:firstLine="539" w:firstLineChars="257"/>
        <w:rPr>
          <w:rFonts w:ascii="宋体"/>
          <w:color w:val="auto"/>
          <w:u w:val="single"/>
        </w:rPr>
      </w:pPr>
      <w:r>
        <w:rPr>
          <w:rFonts w:hint="eastAsia" w:ascii="宋体"/>
          <w:color w:val="auto"/>
        </w:rPr>
        <w:t>传真：</w:t>
      </w:r>
      <w:r>
        <w:rPr>
          <w:rFonts w:hint="eastAsia" w:ascii="宋体"/>
          <w:color w:val="auto"/>
        </w:rPr>
        <w:tab/>
      </w:r>
      <w:r>
        <w:rPr>
          <w:rFonts w:hint="eastAsia" w:ascii="宋体"/>
          <w:color w:val="auto"/>
        </w:rPr>
        <w:t>电话：</w:t>
      </w:r>
    </w:p>
    <w:p>
      <w:pPr>
        <w:tabs>
          <w:tab w:val="left" w:pos="4500"/>
        </w:tabs>
        <w:ind w:left="208" w:leftChars="99" w:firstLine="539" w:firstLineChars="257"/>
        <w:rPr>
          <w:rFonts w:ascii="宋体"/>
          <w:color w:val="auto"/>
          <w:u w:val="single"/>
        </w:rPr>
      </w:pPr>
    </w:p>
    <w:p>
      <w:pPr>
        <w:rPr>
          <w:rFonts w:ascii="宋体"/>
          <w:color w:val="auto"/>
          <w:u w:val="single"/>
        </w:rPr>
      </w:pPr>
      <w:r>
        <w:rPr>
          <w:rFonts w:hint="eastAsia" w:ascii="宋体"/>
          <w:color w:val="auto"/>
          <w:u w:val="single"/>
        </w:rPr>
        <w:br w:type="page"/>
      </w:r>
    </w:p>
    <w:p>
      <w:pPr>
        <w:pStyle w:val="9"/>
        <w:numPr>
          <w:ilvl w:val="0"/>
          <w:numId w:val="5"/>
        </w:numPr>
        <w:rPr>
          <w:color w:val="auto"/>
        </w:rPr>
      </w:pPr>
      <w:bookmarkStart w:id="38" w:name="_Toc67558722"/>
      <w:r>
        <w:rPr>
          <w:rFonts w:hint="eastAsia"/>
          <w:color w:val="auto"/>
        </w:rPr>
        <w:t>服务商信息表格式</w:t>
      </w:r>
      <w:bookmarkEnd w:id="38"/>
    </w:p>
    <w:p>
      <w:pPr>
        <w:spacing w:before="120"/>
        <w:jc w:val="center"/>
        <w:rPr>
          <w:rFonts w:ascii="宋体"/>
          <w:b/>
          <w:color w:val="auto"/>
          <w:sz w:val="32"/>
        </w:rPr>
      </w:pPr>
      <w:r>
        <w:rPr>
          <w:rFonts w:hint="eastAsia" w:ascii="宋体"/>
          <w:b/>
          <w:color w:val="auto"/>
          <w:sz w:val="32"/>
        </w:rPr>
        <w:t>服务商信息表</w:t>
      </w:r>
    </w:p>
    <w:p>
      <w:pPr>
        <w:ind w:firstLine="420" w:firstLineChars="200"/>
        <w:rPr>
          <w:rFonts w:ascii="宋体"/>
          <w:color w:val="auto"/>
        </w:rPr>
      </w:pP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701"/>
        <w:gridCol w:w="1404"/>
        <w:gridCol w:w="1521"/>
        <w:gridCol w:w="190"/>
        <w:gridCol w:w="1249"/>
        <w:gridCol w:w="21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公司名称</w:t>
            </w:r>
          </w:p>
        </w:tc>
        <w:tc>
          <w:tcPr>
            <w:tcW w:w="3105" w:type="dxa"/>
            <w:gridSpan w:val="2"/>
            <w:noWrap/>
            <w:vAlign w:val="center"/>
          </w:tcPr>
          <w:p>
            <w:pPr>
              <w:widowControl/>
              <w:ind w:right="485" w:rightChars="231"/>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组织机构代码</w:t>
            </w:r>
          </w:p>
        </w:tc>
        <w:tc>
          <w:tcPr>
            <w:tcW w:w="3592" w:type="dxa"/>
            <w:gridSpan w:val="3"/>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税务登记编号</w:t>
            </w:r>
          </w:p>
        </w:tc>
        <w:tc>
          <w:tcPr>
            <w:tcW w:w="3105" w:type="dxa"/>
            <w:gridSpan w:val="2"/>
            <w:noWrap/>
            <w:vAlign w:val="center"/>
          </w:tcPr>
          <w:p>
            <w:pPr>
              <w:widowControl/>
              <w:ind w:right="485" w:rightChars="231"/>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营业执照编号</w:t>
            </w:r>
          </w:p>
        </w:tc>
        <w:tc>
          <w:tcPr>
            <w:tcW w:w="3592" w:type="dxa"/>
            <w:gridSpan w:val="3"/>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上级机构/母公司</w:t>
            </w:r>
          </w:p>
        </w:tc>
        <w:tc>
          <w:tcPr>
            <w:tcW w:w="3105" w:type="dxa"/>
            <w:gridSpan w:val="2"/>
            <w:noWrap/>
            <w:vAlign w:val="center"/>
          </w:tcPr>
          <w:p>
            <w:pPr>
              <w:widowControl/>
              <w:ind w:right="485" w:rightChars="231"/>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公司类型</w:t>
            </w:r>
          </w:p>
        </w:tc>
        <w:tc>
          <w:tcPr>
            <w:tcW w:w="3592" w:type="dxa"/>
            <w:gridSpan w:val="3"/>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注册地址</w:t>
            </w:r>
          </w:p>
        </w:tc>
        <w:tc>
          <w:tcPr>
            <w:tcW w:w="3105" w:type="dxa"/>
            <w:gridSpan w:val="2"/>
            <w:noWrap/>
            <w:vAlign w:val="center"/>
          </w:tcPr>
          <w:p>
            <w:pPr>
              <w:widowControl/>
              <w:ind w:right="485" w:rightChars="231"/>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国别</w:t>
            </w:r>
          </w:p>
        </w:tc>
        <w:tc>
          <w:tcPr>
            <w:tcW w:w="3592" w:type="dxa"/>
            <w:gridSpan w:val="3"/>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注册资本</w:t>
            </w:r>
          </w:p>
        </w:tc>
        <w:tc>
          <w:tcPr>
            <w:tcW w:w="3105" w:type="dxa"/>
            <w:gridSpan w:val="2"/>
            <w:noWrap/>
            <w:vAlign w:val="center"/>
          </w:tcPr>
          <w:p>
            <w:pPr>
              <w:widowControl/>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成立时间</w:t>
            </w:r>
          </w:p>
        </w:tc>
        <w:tc>
          <w:tcPr>
            <w:tcW w:w="3592" w:type="dxa"/>
            <w:gridSpan w:val="3"/>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3105" w:type="dxa"/>
            <w:gridSpan w:val="2"/>
            <w:noWrap/>
            <w:vAlign w:val="center"/>
          </w:tcPr>
          <w:p>
            <w:pPr>
              <w:widowControl/>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主营业务类型</w:t>
            </w:r>
          </w:p>
        </w:tc>
        <w:tc>
          <w:tcPr>
            <w:tcW w:w="3592" w:type="dxa"/>
            <w:gridSpan w:val="3"/>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网　址</w:t>
            </w:r>
          </w:p>
        </w:tc>
        <w:tc>
          <w:tcPr>
            <w:tcW w:w="3105" w:type="dxa"/>
            <w:gridSpan w:val="2"/>
            <w:noWrap/>
            <w:vAlign w:val="center"/>
          </w:tcPr>
          <w:p>
            <w:pPr>
              <w:widowControl/>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销售模式</w:t>
            </w:r>
          </w:p>
        </w:tc>
        <w:tc>
          <w:tcPr>
            <w:tcW w:w="3592" w:type="dxa"/>
            <w:gridSpan w:val="3"/>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上年经营额</w:t>
            </w:r>
          </w:p>
        </w:tc>
        <w:tc>
          <w:tcPr>
            <w:tcW w:w="3105" w:type="dxa"/>
            <w:gridSpan w:val="2"/>
            <w:noWrap/>
            <w:vAlign w:val="center"/>
          </w:tcPr>
          <w:p>
            <w:pPr>
              <w:widowControl/>
              <w:jc w:val="center"/>
              <w:rPr>
                <w:rFonts w:ascii="宋体" w:hAnsi="宋体" w:cs="宋体"/>
                <w:color w:val="auto"/>
                <w:kern w:val="0"/>
                <w:szCs w:val="21"/>
              </w:rPr>
            </w:pPr>
          </w:p>
        </w:tc>
        <w:tc>
          <w:tcPr>
            <w:tcW w:w="152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上年利润数</w:t>
            </w:r>
          </w:p>
        </w:tc>
        <w:tc>
          <w:tcPr>
            <w:tcW w:w="3592" w:type="dxa"/>
            <w:gridSpan w:val="3"/>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经营地址</w:t>
            </w:r>
          </w:p>
        </w:tc>
        <w:tc>
          <w:tcPr>
            <w:tcW w:w="8218" w:type="dxa"/>
            <w:gridSpan w:val="6"/>
            <w:noWrap/>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经营范围</w:t>
            </w:r>
          </w:p>
        </w:tc>
        <w:tc>
          <w:tcPr>
            <w:tcW w:w="8218" w:type="dxa"/>
            <w:gridSpan w:val="6"/>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资质等级</w:t>
            </w:r>
          </w:p>
        </w:tc>
        <w:tc>
          <w:tcPr>
            <w:tcW w:w="8218" w:type="dxa"/>
            <w:gridSpan w:val="6"/>
            <w:noWrap/>
            <w:vAlign w:val="center"/>
          </w:tcPr>
          <w:p>
            <w:pPr>
              <w:widowControl/>
              <w:jc w:val="center"/>
              <w:rPr>
                <w:rFonts w:ascii="宋体" w:hAnsi="宋体"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组织体系</w:t>
            </w:r>
          </w:p>
        </w:tc>
        <w:tc>
          <w:tcPr>
            <w:tcW w:w="8218" w:type="dxa"/>
            <w:gridSpan w:val="6"/>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联系人</w:t>
            </w:r>
          </w:p>
        </w:tc>
        <w:tc>
          <w:tcPr>
            <w:tcW w:w="170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04"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联系电话</w:t>
            </w:r>
          </w:p>
        </w:tc>
        <w:tc>
          <w:tcPr>
            <w:tcW w:w="1711" w:type="dxa"/>
            <w:gridSpan w:val="2"/>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249"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手机</w:t>
            </w:r>
          </w:p>
        </w:tc>
        <w:tc>
          <w:tcPr>
            <w:tcW w:w="215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color w:val="auto"/>
                <w:kern w:val="0"/>
                <w:szCs w:val="21"/>
              </w:rPr>
            </w:pPr>
            <w:r>
              <w:rPr>
                <w:color w:val="auto"/>
                <w:kern w:val="0"/>
                <w:szCs w:val="21"/>
              </w:rPr>
              <w:t>E-mail</w:t>
            </w:r>
            <w:r>
              <w:rPr>
                <w:rFonts w:hint="eastAsia" w:ascii="宋体" w:hAnsi="宋体"/>
                <w:color w:val="auto"/>
                <w:kern w:val="0"/>
                <w:szCs w:val="21"/>
              </w:rPr>
              <w:t>地址</w:t>
            </w:r>
          </w:p>
        </w:tc>
        <w:tc>
          <w:tcPr>
            <w:tcW w:w="170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404"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传真</w:t>
            </w:r>
          </w:p>
        </w:tc>
        <w:tc>
          <w:tcPr>
            <w:tcW w:w="1711" w:type="dxa"/>
            <w:gridSpan w:val="2"/>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249"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邮政编码</w:t>
            </w:r>
          </w:p>
        </w:tc>
        <w:tc>
          <w:tcPr>
            <w:tcW w:w="215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主要产品或项目</w:t>
            </w:r>
          </w:p>
        </w:tc>
        <w:tc>
          <w:tcPr>
            <w:tcW w:w="170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类别</w:t>
            </w:r>
          </w:p>
        </w:tc>
        <w:tc>
          <w:tcPr>
            <w:tcW w:w="3115" w:type="dxa"/>
            <w:gridSpan w:val="3"/>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产品规格、型号</w:t>
            </w:r>
            <w:r>
              <w:rPr>
                <w:color w:val="auto"/>
                <w:kern w:val="0"/>
                <w:szCs w:val="21"/>
              </w:rPr>
              <w:t>(</w:t>
            </w:r>
            <w:r>
              <w:rPr>
                <w:rFonts w:hint="eastAsia" w:ascii="宋体" w:hAnsi="宋体" w:cs="宋体"/>
                <w:color w:val="auto"/>
                <w:kern w:val="0"/>
                <w:szCs w:val="21"/>
              </w:rPr>
              <w:t>项目技术特征）</w:t>
            </w:r>
          </w:p>
        </w:tc>
        <w:tc>
          <w:tcPr>
            <w:tcW w:w="3402" w:type="dxa"/>
            <w:gridSpan w:val="2"/>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主要用户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70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115" w:type="dxa"/>
            <w:gridSpan w:val="3"/>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402" w:type="dxa"/>
            <w:gridSpan w:val="2"/>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13"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70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115" w:type="dxa"/>
            <w:gridSpan w:val="3"/>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3402" w:type="dxa"/>
            <w:gridSpan w:val="2"/>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bl>
    <w:p>
      <w:pPr>
        <w:ind w:firstLine="420" w:firstLineChars="200"/>
        <w:rPr>
          <w:rFonts w:ascii="宋体"/>
          <w:color w:val="auto"/>
        </w:rPr>
      </w:pPr>
    </w:p>
    <w:p>
      <w:pPr>
        <w:spacing w:line="360" w:lineRule="auto"/>
        <w:ind w:firstLine="420" w:firstLineChars="200"/>
        <w:rPr>
          <w:color w:val="auto"/>
        </w:rPr>
      </w:pPr>
      <w:r>
        <w:rPr>
          <w:rFonts w:hint="eastAsia"/>
          <w:color w:val="auto"/>
        </w:rPr>
        <w:t>投标人名称:__________________________________</w:t>
      </w:r>
    </w:p>
    <w:p>
      <w:pPr>
        <w:spacing w:line="360" w:lineRule="auto"/>
        <w:ind w:firstLine="420" w:firstLineChars="200"/>
        <w:rPr>
          <w:color w:val="auto"/>
        </w:rPr>
      </w:pPr>
      <w:r>
        <w:rPr>
          <w:rFonts w:hint="eastAsia"/>
          <w:color w:val="auto"/>
        </w:rPr>
        <w:t>投标人单位盖章:______________________________</w:t>
      </w:r>
    </w:p>
    <w:p>
      <w:pPr>
        <w:spacing w:line="360" w:lineRule="auto"/>
        <w:ind w:firstLine="420" w:firstLineChars="200"/>
        <w:rPr>
          <w:color w:val="auto"/>
        </w:rPr>
      </w:pPr>
      <w:r>
        <w:rPr>
          <w:rFonts w:hint="eastAsia"/>
          <w:color w:val="auto"/>
        </w:rPr>
        <w:t xml:space="preserve">投标人代表签字：                             </w:t>
      </w:r>
    </w:p>
    <w:p>
      <w:pPr>
        <w:spacing w:line="360" w:lineRule="auto"/>
        <w:ind w:firstLine="420" w:firstLineChars="200"/>
        <w:rPr>
          <w:color w:val="auto"/>
        </w:rPr>
      </w:pPr>
      <w:r>
        <w:rPr>
          <w:rFonts w:hint="eastAsia"/>
          <w:color w:val="auto"/>
        </w:rPr>
        <w:t xml:space="preserve">日期：               </w:t>
      </w:r>
    </w:p>
    <w:p>
      <w:pPr>
        <w:ind w:firstLine="420" w:firstLineChars="200"/>
        <w:rPr>
          <w:rFonts w:ascii="宋体"/>
          <w:color w:val="auto"/>
        </w:rPr>
      </w:pPr>
    </w:p>
    <w:p>
      <w:pPr>
        <w:ind w:firstLine="422" w:firstLineChars="200"/>
        <w:rPr>
          <w:rFonts w:ascii="宋体"/>
          <w:b/>
          <w:color w:val="auto"/>
        </w:rPr>
      </w:pPr>
      <w:r>
        <w:rPr>
          <w:rFonts w:hint="eastAsia" w:ascii="宋体"/>
          <w:b/>
          <w:color w:val="auto"/>
        </w:rPr>
        <w:t>说明：</w:t>
      </w:r>
    </w:p>
    <w:p>
      <w:pPr>
        <w:ind w:firstLine="300" w:firstLineChars="200"/>
        <w:rPr>
          <w:rFonts w:ascii="宋体"/>
          <w:color w:val="auto"/>
          <w:sz w:val="15"/>
          <w:szCs w:val="15"/>
        </w:rPr>
      </w:pPr>
      <w:r>
        <w:rPr>
          <w:rFonts w:hint="eastAsia" w:ascii="宋体"/>
          <w:color w:val="auto"/>
          <w:sz w:val="15"/>
          <w:szCs w:val="15"/>
        </w:rPr>
        <w:t>1.供应商本着“诚实、信用”的原则，如实填写服务商信息表，并对填写内容承担法律责任；</w:t>
      </w:r>
    </w:p>
    <w:p>
      <w:pPr>
        <w:ind w:firstLine="300" w:firstLineChars="200"/>
        <w:rPr>
          <w:rFonts w:ascii="宋体"/>
          <w:color w:val="auto"/>
          <w:sz w:val="15"/>
          <w:szCs w:val="15"/>
        </w:rPr>
      </w:pPr>
      <w:r>
        <w:rPr>
          <w:rFonts w:hint="eastAsia" w:ascii="宋体"/>
          <w:color w:val="auto"/>
          <w:sz w:val="15"/>
          <w:szCs w:val="15"/>
        </w:rPr>
        <w:t>2.供应商应提供自身基本情况简介、产品介绍等情况。</w:t>
      </w:r>
    </w:p>
    <w:p>
      <w:pPr>
        <w:ind w:firstLine="300" w:firstLineChars="200"/>
        <w:rPr>
          <w:rFonts w:ascii="宋体"/>
          <w:color w:val="auto"/>
          <w:sz w:val="15"/>
          <w:szCs w:val="15"/>
        </w:rPr>
      </w:pPr>
      <w:r>
        <w:rPr>
          <w:rFonts w:hint="eastAsia" w:ascii="宋体"/>
          <w:color w:val="auto"/>
          <w:sz w:val="15"/>
          <w:szCs w:val="15"/>
        </w:rPr>
        <w:t>3.供应商还应根据行业特点，提供其他可证明自身资信、技术能力的资料；</w:t>
      </w:r>
    </w:p>
    <w:p>
      <w:pPr>
        <w:ind w:firstLine="300" w:firstLineChars="200"/>
        <w:rPr>
          <w:rFonts w:ascii="宋体"/>
          <w:color w:val="auto"/>
          <w:sz w:val="15"/>
          <w:szCs w:val="15"/>
        </w:rPr>
      </w:pPr>
      <w:r>
        <w:rPr>
          <w:rFonts w:hint="eastAsia" w:ascii="宋体"/>
          <w:color w:val="auto"/>
          <w:sz w:val="15"/>
          <w:szCs w:val="15"/>
        </w:rPr>
        <w:t>4.公司类型：依据国家统计局、国家工商总局《关于划分企业登记注册类型的规定》（国统字〔2011〕86号）的标准填写：100）内资企业：110）国有企业 120）集体企业 130）股份合作企业 140）联营企业 150）有限责任公司 160）股份有限公司 170）私营企业 190）其他企业200）港澳台商投资企业：210）合资经营企业 220）合作经营企业 230）港澳台商独资经营企业 240）港澳台商投资股份有限公司 290）其他港澳台投资企业300）外商投资企业：310）中外合资经营企业 320）中外合作经营企业 330）外资企业 340）外商投资股份有限公司 390）其他外商投资企业</w:t>
      </w:r>
    </w:p>
    <w:p>
      <w:pPr>
        <w:ind w:firstLine="300" w:firstLineChars="200"/>
        <w:rPr>
          <w:rFonts w:ascii="宋体"/>
          <w:color w:val="auto"/>
          <w:sz w:val="15"/>
          <w:szCs w:val="15"/>
        </w:rPr>
      </w:pPr>
      <w:r>
        <w:rPr>
          <w:rFonts w:hint="eastAsia" w:ascii="宋体"/>
          <w:color w:val="auto"/>
          <w:sz w:val="15"/>
          <w:szCs w:val="15"/>
        </w:rPr>
        <w:t>5.主营业务类型：1）咨询服务 2）软件开发 3）运维服务 4）人力资源外包 5）软硬件买卖 6）其他。</w:t>
      </w:r>
    </w:p>
    <w:p>
      <w:pPr>
        <w:ind w:firstLine="300" w:firstLineChars="200"/>
        <w:rPr>
          <w:rFonts w:ascii="宋体"/>
          <w:color w:val="auto"/>
          <w:sz w:val="15"/>
          <w:szCs w:val="15"/>
        </w:rPr>
      </w:pPr>
      <w:r>
        <w:rPr>
          <w:rFonts w:hint="eastAsia" w:ascii="宋体"/>
          <w:color w:val="auto"/>
          <w:sz w:val="15"/>
          <w:szCs w:val="15"/>
        </w:rPr>
        <w:t>6.“经营范围”为企业负责人营业执照规定的内容；</w:t>
      </w:r>
    </w:p>
    <w:p>
      <w:pPr>
        <w:ind w:firstLine="300" w:firstLineChars="200"/>
        <w:rPr>
          <w:rFonts w:ascii="宋体"/>
          <w:color w:val="auto"/>
          <w:sz w:val="15"/>
          <w:szCs w:val="15"/>
        </w:rPr>
      </w:pPr>
      <w:r>
        <w:rPr>
          <w:rFonts w:hint="eastAsia" w:ascii="宋体"/>
          <w:color w:val="auto"/>
          <w:sz w:val="15"/>
          <w:szCs w:val="15"/>
        </w:rPr>
        <w:t>7.“资质等级”包括代理、集成、经销、服务等级以及建筑、装修、信息、安全保卫等资质等级；</w:t>
      </w:r>
    </w:p>
    <w:p>
      <w:pPr>
        <w:ind w:firstLine="300" w:firstLineChars="200"/>
        <w:rPr>
          <w:rFonts w:ascii="宋体"/>
          <w:color w:val="auto"/>
          <w:sz w:val="15"/>
          <w:szCs w:val="15"/>
        </w:rPr>
      </w:pPr>
      <w:r>
        <w:rPr>
          <w:rFonts w:hint="eastAsia" w:ascii="宋体"/>
          <w:color w:val="auto"/>
          <w:sz w:val="15"/>
          <w:szCs w:val="15"/>
        </w:rPr>
        <w:t>8.“组织体系”为全国分支机构设置情况；</w:t>
      </w:r>
    </w:p>
    <w:p>
      <w:pPr>
        <w:ind w:firstLine="300" w:firstLineChars="200"/>
        <w:rPr>
          <w:rFonts w:ascii="宋体"/>
          <w:color w:val="auto"/>
        </w:rPr>
        <w:sectPr>
          <w:footerReference r:id="rId4" w:type="default"/>
          <w:pgSz w:w="11907" w:h="16840"/>
          <w:pgMar w:top="1418" w:right="1304" w:bottom="1361" w:left="1361" w:header="794" w:footer="794" w:gutter="0"/>
          <w:pgNumType w:start="1"/>
          <w:cols w:space="720" w:num="1"/>
          <w:docGrid w:linePitch="285" w:charSpace="0"/>
        </w:sectPr>
      </w:pPr>
      <w:r>
        <w:rPr>
          <w:rFonts w:hint="eastAsia" w:ascii="宋体"/>
          <w:color w:val="auto"/>
          <w:sz w:val="15"/>
          <w:szCs w:val="15"/>
        </w:rPr>
        <w:t>9.“销售模式”包括直接销售、代理销售等方式。</w:t>
      </w:r>
    </w:p>
    <w:p>
      <w:pPr>
        <w:pStyle w:val="9"/>
        <w:numPr>
          <w:ilvl w:val="0"/>
          <w:numId w:val="5"/>
        </w:numPr>
        <w:rPr>
          <w:color w:val="auto"/>
        </w:rPr>
      </w:pPr>
      <w:bookmarkStart w:id="39" w:name="_Hlt533498688"/>
      <w:bookmarkEnd w:id="39"/>
      <w:bookmarkStart w:id="40" w:name="_Toc67558723"/>
      <w:r>
        <w:rPr>
          <w:rFonts w:hint="eastAsia"/>
          <w:color w:val="auto"/>
        </w:rPr>
        <w:t>投标人业绩表格式</w:t>
      </w:r>
      <w:bookmarkEnd w:id="40"/>
    </w:p>
    <w:p>
      <w:pPr>
        <w:jc w:val="center"/>
        <w:rPr>
          <w:rFonts w:ascii="宋体"/>
          <w:b/>
          <w:color w:val="auto"/>
          <w:sz w:val="24"/>
        </w:rPr>
      </w:pPr>
      <w:r>
        <w:rPr>
          <w:rFonts w:hint="eastAsia" w:ascii="宋体"/>
          <w:b/>
          <w:color w:val="auto"/>
          <w:sz w:val="24"/>
        </w:rPr>
        <w:t>投标人业绩表</w:t>
      </w:r>
    </w:p>
    <w:p>
      <w:pPr>
        <w:pStyle w:val="55"/>
        <w:tabs>
          <w:tab w:val="left" w:pos="5130"/>
        </w:tabs>
        <w:spacing w:afterLines="50" w:line="360" w:lineRule="auto"/>
        <w:jc w:val="both"/>
        <w:rPr>
          <w:color w:val="auto"/>
          <w:sz w:val="21"/>
        </w:rPr>
      </w:pPr>
    </w:p>
    <w:p>
      <w:pPr>
        <w:pStyle w:val="55"/>
        <w:tabs>
          <w:tab w:val="left" w:pos="5130"/>
        </w:tabs>
        <w:spacing w:afterLines="50" w:line="360" w:lineRule="auto"/>
        <w:jc w:val="both"/>
        <w:rPr>
          <w:color w:val="auto"/>
          <w:sz w:val="21"/>
        </w:rPr>
      </w:pPr>
      <w:r>
        <w:rPr>
          <w:rFonts w:hint="eastAsia"/>
          <w:color w:val="auto"/>
          <w:sz w:val="21"/>
        </w:rPr>
        <w:t>投标人：</w:t>
      </w:r>
      <w:r>
        <w:rPr>
          <w:rFonts w:hint="eastAsia"/>
          <w:color w:val="auto"/>
          <w:sz w:val="21"/>
          <w:u w:val="single"/>
        </w:rPr>
        <w:tab/>
      </w:r>
      <w:r>
        <w:rPr>
          <w:rFonts w:hint="eastAsia"/>
          <w:color w:val="auto"/>
          <w:sz w:val="21"/>
          <w:u w:val="single"/>
        </w:rPr>
        <w:t>　　　　</w:t>
      </w:r>
      <w:r>
        <w:rPr>
          <w:rFonts w:hint="eastAsia"/>
          <w:color w:val="auto"/>
          <w:sz w:val="21"/>
        </w:rPr>
        <w:t>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1440"/>
        <w:gridCol w:w="1800"/>
        <w:gridCol w:w="108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vAlign w:val="center"/>
          </w:tcPr>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编</w:t>
            </w:r>
          </w:p>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号</w:t>
            </w:r>
          </w:p>
        </w:tc>
        <w:tc>
          <w:tcPr>
            <w:tcW w:w="1440" w:type="dxa"/>
            <w:noWrap/>
            <w:vAlign w:val="center"/>
          </w:tcPr>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项目</w:t>
            </w:r>
          </w:p>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单位</w:t>
            </w:r>
          </w:p>
        </w:tc>
        <w:tc>
          <w:tcPr>
            <w:tcW w:w="1440" w:type="dxa"/>
            <w:noWrap/>
            <w:vAlign w:val="center"/>
          </w:tcPr>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项目</w:t>
            </w:r>
          </w:p>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名称</w:t>
            </w:r>
          </w:p>
        </w:tc>
        <w:tc>
          <w:tcPr>
            <w:tcW w:w="1800" w:type="dxa"/>
            <w:noWrap/>
            <w:vAlign w:val="center"/>
          </w:tcPr>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项目</w:t>
            </w:r>
          </w:p>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内容</w:t>
            </w:r>
          </w:p>
        </w:tc>
        <w:tc>
          <w:tcPr>
            <w:tcW w:w="1080" w:type="dxa"/>
            <w:noWrap/>
            <w:vAlign w:val="center"/>
          </w:tcPr>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项目</w:t>
            </w:r>
          </w:p>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工期</w:t>
            </w:r>
          </w:p>
        </w:tc>
        <w:tc>
          <w:tcPr>
            <w:tcW w:w="1620" w:type="dxa"/>
            <w:noWrap/>
            <w:vAlign w:val="center"/>
          </w:tcPr>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项目</w:t>
            </w:r>
          </w:p>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金额</w:t>
            </w:r>
          </w:p>
        </w:tc>
        <w:tc>
          <w:tcPr>
            <w:tcW w:w="1440" w:type="dxa"/>
            <w:noWrap/>
            <w:vAlign w:val="center"/>
          </w:tcPr>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联系人及</w:t>
            </w:r>
          </w:p>
          <w:p>
            <w:pPr>
              <w:pStyle w:val="12"/>
              <w:ind w:firstLine="0"/>
              <w:jc w:val="center"/>
              <w:rPr>
                <w:rFonts w:hAnsi="宋体" w:eastAsia="等线"/>
                <w:b/>
                <w:color w:val="auto"/>
                <w:kern w:val="2"/>
                <w:sz w:val="21"/>
                <w:szCs w:val="22"/>
                <w:lang w:val="en-US" w:eastAsia="zh-CN"/>
              </w:rPr>
            </w:pPr>
            <w:r>
              <w:rPr>
                <w:rFonts w:hint="eastAsia" w:hAnsi="宋体" w:eastAsia="等线"/>
                <w:b/>
                <w:color w:val="auto"/>
                <w:kern w:val="2"/>
                <w:sz w:val="21"/>
                <w:szCs w:val="22"/>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1</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2</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3</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4</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5</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6</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7</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noWrap/>
          </w:tcPr>
          <w:p>
            <w:pPr>
              <w:pStyle w:val="12"/>
              <w:ind w:firstLine="0"/>
              <w:rPr>
                <w:rFonts w:hAnsi="宋体" w:eastAsia="等线"/>
                <w:color w:val="auto"/>
                <w:kern w:val="2"/>
                <w:sz w:val="21"/>
                <w:szCs w:val="22"/>
                <w:lang w:val="en-US" w:eastAsia="zh-CN"/>
              </w:rPr>
            </w:pPr>
            <w:r>
              <w:rPr>
                <w:rFonts w:hint="eastAsia" w:hAnsi="宋体" w:eastAsia="等线"/>
                <w:color w:val="auto"/>
                <w:kern w:val="2"/>
                <w:sz w:val="21"/>
                <w:szCs w:val="22"/>
                <w:lang w:val="en-US" w:eastAsia="zh-CN"/>
              </w:rPr>
              <w:t>8</w:t>
            </w:r>
          </w:p>
        </w:tc>
        <w:tc>
          <w:tcPr>
            <w:tcW w:w="144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c>
          <w:tcPr>
            <w:tcW w:w="1800" w:type="dxa"/>
            <w:noWrap/>
          </w:tcPr>
          <w:p>
            <w:pPr>
              <w:pStyle w:val="12"/>
              <w:ind w:firstLine="0"/>
              <w:rPr>
                <w:rFonts w:hAnsi="宋体" w:eastAsia="等线"/>
                <w:color w:val="auto"/>
                <w:kern w:val="2"/>
                <w:sz w:val="21"/>
                <w:szCs w:val="22"/>
                <w:lang w:val="en-US" w:eastAsia="zh-CN"/>
              </w:rPr>
            </w:pPr>
          </w:p>
        </w:tc>
        <w:tc>
          <w:tcPr>
            <w:tcW w:w="1080" w:type="dxa"/>
            <w:noWrap/>
          </w:tcPr>
          <w:p>
            <w:pPr>
              <w:pStyle w:val="12"/>
              <w:ind w:firstLine="0"/>
              <w:rPr>
                <w:rFonts w:hAnsi="宋体" w:eastAsia="等线"/>
                <w:color w:val="auto"/>
                <w:kern w:val="2"/>
                <w:sz w:val="21"/>
                <w:szCs w:val="22"/>
                <w:lang w:val="en-US" w:eastAsia="zh-CN"/>
              </w:rPr>
            </w:pPr>
          </w:p>
        </w:tc>
        <w:tc>
          <w:tcPr>
            <w:tcW w:w="1620" w:type="dxa"/>
            <w:noWrap/>
          </w:tcPr>
          <w:p>
            <w:pPr>
              <w:pStyle w:val="12"/>
              <w:ind w:firstLine="0"/>
              <w:rPr>
                <w:rFonts w:hAnsi="宋体" w:eastAsia="等线"/>
                <w:color w:val="auto"/>
                <w:kern w:val="2"/>
                <w:sz w:val="21"/>
                <w:szCs w:val="22"/>
                <w:lang w:val="en-US" w:eastAsia="zh-CN"/>
              </w:rPr>
            </w:pPr>
          </w:p>
        </w:tc>
        <w:tc>
          <w:tcPr>
            <w:tcW w:w="1440" w:type="dxa"/>
            <w:noWrap/>
          </w:tcPr>
          <w:p>
            <w:pPr>
              <w:pStyle w:val="12"/>
              <w:ind w:firstLine="0"/>
              <w:rPr>
                <w:rFonts w:hAnsi="宋体" w:eastAsia="等线"/>
                <w:color w:val="auto"/>
                <w:kern w:val="2"/>
                <w:sz w:val="21"/>
                <w:szCs w:val="22"/>
                <w:lang w:val="en-US" w:eastAsia="zh-CN"/>
              </w:rPr>
            </w:pPr>
          </w:p>
        </w:tc>
      </w:tr>
    </w:tbl>
    <w:p>
      <w:pPr>
        <w:jc w:val="center"/>
        <w:rPr>
          <w:rFonts w:ascii="宋体"/>
          <w:b/>
          <w:color w:val="auto"/>
          <w:sz w:val="24"/>
        </w:rPr>
      </w:pPr>
    </w:p>
    <w:p>
      <w:pPr>
        <w:ind w:firstLine="422" w:firstLineChars="200"/>
        <w:rPr>
          <w:rFonts w:ascii="宋体"/>
          <w:b/>
          <w:color w:val="auto"/>
        </w:rPr>
      </w:pPr>
      <w:bookmarkStart w:id="41" w:name="_Hlt10548694"/>
      <w:r>
        <w:rPr>
          <w:rFonts w:hint="eastAsia" w:ascii="宋体"/>
          <w:b/>
          <w:color w:val="auto"/>
        </w:rPr>
        <w:t>备注：</w:t>
      </w:r>
      <w:bookmarkEnd w:id="41"/>
    </w:p>
    <w:p>
      <w:pPr>
        <w:ind w:firstLine="420" w:firstLineChars="200"/>
        <w:rPr>
          <w:rFonts w:ascii="宋体"/>
          <w:color w:val="auto"/>
        </w:rPr>
      </w:pPr>
      <w:r>
        <w:rPr>
          <w:rFonts w:hint="eastAsia" w:ascii="宋体"/>
          <w:color w:val="auto"/>
        </w:rPr>
        <w:t>1、按《投标人须知》要求的时间段，列出</w:t>
      </w:r>
      <w:r>
        <w:rPr>
          <w:rFonts w:hint="eastAsia"/>
          <w:color w:val="auto"/>
        </w:rPr>
        <w:t>投标人近三年来在金融行业承担的类似设备供应项目；</w:t>
      </w:r>
    </w:p>
    <w:p>
      <w:pPr>
        <w:ind w:firstLine="420" w:firstLineChars="200"/>
        <w:rPr>
          <w:rFonts w:ascii="宋体"/>
          <w:color w:val="auto"/>
        </w:rPr>
      </w:pPr>
      <w:r>
        <w:rPr>
          <w:rFonts w:hint="eastAsia" w:ascii="宋体"/>
          <w:color w:val="auto"/>
        </w:rPr>
        <w:t>2、投标人应尽可能提供表列项目的评定证书或用户使用报告的复印件；</w:t>
      </w:r>
    </w:p>
    <w:p>
      <w:pPr>
        <w:ind w:firstLine="420" w:firstLineChars="200"/>
        <w:rPr>
          <w:rFonts w:ascii="宋体"/>
          <w:color w:val="auto"/>
        </w:rPr>
      </w:pPr>
      <w:r>
        <w:rPr>
          <w:rFonts w:hint="eastAsia" w:ascii="宋体"/>
          <w:color w:val="auto"/>
        </w:rPr>
        <w:t>3、业绩主要包括：在国内银行实施案例，并对主要成功业绩进行详细描述，业绩列表内容包括但不限于客户名称、系统上线时间、联系人、联系电话等，如以上表格不能体现成功业绩介绍，可以在该表格的基础上进行修改，完善。</w:t>
      </w:r>
    </w:p>
    <w:p>
      <w:pPr>
        <w:spacing w:before="120"/>
        <w:ind w:left="855" w:leftChars="207" w:hanging="420" w:hangingChars="200"/>
        <w:rPr>
          <w:color w:val="auto"/>
        </w:rPr>
      </w:pPr>
    </w:p>
    <w:p>
      <w:pPr>
        <w:spacing w:before="120"/>
        <w:ind w:left="855" w:leftChars="207" w:hanging="420" w:hangingChars="200"/>
        <w:rPr>
          <w:rFonts w:ascii="宋体" w:hAnsi="宋体"/>
          <w:color w:val="auto"/>
        </w:rPr>
      </w:pPr>
    </w:p>
    <w:p>
      <w:pPr>
        <w:spacing w:line="360" w:lineRule="auto"/>
        <w:ind w:firstLine="420" w:firstLineChars="200"/>
        <w:rPr>
          <w:color w:val="auto"/>
        </w:rPr>
      </w:pPr>
      <w:r>
        <w:rPr>
          <w:rFonts w:hint="eastAsia"/>
          <w:color w:val="auto"/>
        </w:rPr>
        <w:t>投标人名称:__________________________________</w:t>
      </w:r>
    </w:p>
    <w:p>
      <w:pPr>
        <w:spacing w:line="360" w:lineRule="auto"/>
        <w:ind w:firstLine="420" w:firstLineChars="200"/>
        <w:rPr>
          <w:color w:val="auto"/>
        </w:rPr>
      </w:pPr>
      <w:r>
        <w:rPr>
          <w:rFonts w:hint="eastAsia"/>
          <w:color w:val="auto"/>
        </w:rPr>
        <w:t>投标人单位盖章:______________________________</w:t>
      </w:r>
    </w:p>
    <w:p>
      <w:pPr>
        <w:spacing w:line="360" w:lineRule="auto"/>
        <w:ind w:firstLine="420" w:firstLineChars="200"/>
        <w:rPr>
          <w:color w:val="auto"/>
        </w:rPr>
      </w:pPr>
      <w:r>
        <w:rPr>
          <w:rFonts w:hint="eastAsia"/>
          <w:color w:val="auto"/>
        </w:rPr>
        <w:t xml:space="preserve">投标人代表签字：                             </w:t>
      </w:r>
    </w:p>
    <w:p>
      <w:pPr>
        <w:spacing w:line="360" w:lineRule="auto"/>
        <w:ind w:firstLine="420" w:firstLineChars="200"/>
        <w:rPr>
          <w:color w:val="auto"/>
        </w:rPr>
      </w:pPr>
      <w:r>
        <w:rPr>
          <w:rFonts w:hint="eastAsia"/>
          <w:color w:val="auto"/>
        </w:rPr>
        <w:t xml:space="preserve">日期：               </w:t>
      </w:r>
    </w:p>
    <w:p>
      <w:pPr>
        <w:spacing w:line="360" w:lineRule="auto"/>
        <w:ind w:firstLine="420" w:firstLineChars="200"/>
        <w:rPr>
          <w:color w:val="auto"/>
        </w:rPr>
      </w:pPr>
    </w:p>
    <w:p>
      <w:pPr>
        <w:rPr>
          <w:color w:val="auto"/>
        </w:rPr>
      </w:pP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auto"/>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9"/>
      <w:lvlText w:val="%1"/>
      <w:lvlJc w:val="left"/>
      <w:pPr>
        <w:tabs>
          <w:tab w:val="left" w:pos="432"/>
        </w:tabs>
        <w:ind w:left="432" w:hanging="432"/>
      </w:pPr>
    </w:lvl>
    <w:lvl w:ilvl="1" w:tentative="0">
      <w:start w:val="1"/>
      <w:numFmt w:val="decimal"/>
      <w:pStyle w:val="10"/>
      <w:lvlText w:val="%1.%2"/>
      <w:lvlJc w:val="left"/>
      <w:pPr>
        <w:tabs>
          <w:tab w:val="left" w:pos="2278"/>
        </w:tabs>
        <w:ind w:left="2278" w:hanging="576"/>
      </w:pPr>
    </w:lvl>
    <w:lvl w:ilvl="2" w:tentative="0">
      <w:start w:val="1"/>
      <w:numFmt w:val="decimal"/>
      <w:pStyle w:val="11"/>
      <w:lvlText w:val="%1.%2.%3"/>
      <w:lvlJc w:val="left"/>
      <w:pPr>
        <w:tabs>
          <w:tab w:val="left" w:pos="1571"/>
        </w:tabs>
        <w:ind w:left="1571"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13"/>
    <w:multiLevelType w:val="multilevel"/>
    <w:tmpl w:val="00000013"/>
    <w:lvl w:ilvl="0" w:tentative="0">
      <w:start w:val="1"/>
      <w:numFmt w:val="decimal"/>
      <w:lvlText w:val="（%1）"/>
      <w:lvlJc w:val="left"/>
      <w:pPr>
        <w:tabs>
          <w:tab w:val="left" w:pos="1440"/>
        </w:tabs>
        <w:ind w:left="1440" w:hanging="720"/>
      </w:pPr>
      <w:rPr>
        <w:rFonts w:hint="default"/>
      </w:rPr>
    </w:lvl>
    <w:lvl w:ilvl="1" w:tentative="0">
      <w:start w:val="5"/>
      <w:numFmt w:val="decimal"/>
      <w:lvlText w:val="%2."/>
      <w:lvlJc w:val="left"/>
      <w:pPr>
        <w:tabs>
          <w:tab w:val="left" w:pos="1770"/>
        </w:tabs>
        <w:ind w:left="1770" w:hanging="630"/>
      </w:pPr>
      <w:rPr>
        <w:rFonts w:hint="default" w:hAnsi="Times New Roman"/>
      </w:rPr>
    </w:lvl>
    <w:lvl w:ilvl="2" w:tentative="0">
      <w:start w:val="1"/>
      <w:numFmt w:val="japaneseCounting"/>
      <w:lvlText w:val="%3、"/>
      <w:lvlJc w:val="left"/>
      <w:pPr>
        <w:tabs>
          <w:tab w:val="left" w:pos="1980"/>
        </w:tabs>
        <w:ind w:left="1980" w:hanging="420"/>
      </w:pPr>
      <w:rPr>
        <w:rFonts w:hint="default"/>
      </w:rPr>
    </w:lvl>
    <w:lvl w:ilvl="3" w:tentative="0">
      <w:start w:val="3"/>
      <w:numFmt w:val="decimal"/>
      <w:lvlText w:val="%4．"/>
      <w:lvlJc w:val="left"/>
      <w:pPr>
        <w:tabs>
          <w:tab w:val="left" w:pos="2340"/>
        </w:tabs>
        <w:ind w:left="2340" w:hanging="360"/>
      </w:pPr>
      <w:rPr>
        <w:rFonts w:hint="default" w:ascii="宋体"/>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8431503"/>
    <w:multiLevelType w:val="multilevel"/>
    <w:tmpl w:val="0843150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2278"/>
        </w:tabs>
        <w:ind w:left="2278" w:hanging="576"/>
      </w:pPr>
    </w:lvl>
    <w:lvl w:ilvl="2" w:tentative="0">
      <w:start w:val="1"/>
      <w:numFmt w:val="decimal"/>
      <w:lvlText w:val="%1.%2.%3"/>
      <w:lvlJc w:val="left"/>
      <w:pPr>
        <w:tabs>
          <w:tab w:val="left" w:pos="1571"/>
        </w:tabs>
        <w:ind w:left="1571"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7E97CA5"/>
    <w:multiLevelType w:val="multilevel"/>
    <w:tmpl w:val="17E97CA5"/>
    <w:lvl w:ilvl="0" w:tentative="0">
      <w:start w:val="1"/>
      <w:numFmt w:val="chineseCountingThousand"/>
      <w:lvlText w:val="(%1)"/>
      <w:lvlJc w:val="left"/>
      <w:pPr>
        <w:tabs>
          <w:tab w:val="left" w:pos="432"/>
        </w:tabs>
        <w:ind w:left="432" w:hanging="432"/>
      </w:pPr>
    </w:lvl>
    <w:lvl w:ilvl="1" w:tentative="0">
      <w:start w:val="1"/>
      <w:numFmt w:val="decimal"/>
      <w:lvlText w:val="%1.%2"/>
      <w:lvlJc w:val="left"/>
      <w:pPr>
        <w:tabs>
          <w:tab w:val="left" w:pos="2278"/>
        </w:tabs>
        <w:ind w:left="2278" w:hanging="576"/>
      </w:pPr>
    </w:lvl>
    <w:lvl w:ilvl="2" w:tentative="0">
      <w:start w:val="1"/>
      <w:numFmt w:val="decimal"/>
      <w:lvlText w:val="%1.%2.%3"/>
      <w:lvlJc w:val="left"/>
      <w:pPr>
        <w:tabs>
          <w:tab w:val="left" w:pos="1571"/>
        </w:tabs>
        <w:ind w:left="1571"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74401E45"/>
    <w:multiLevelType w:val="multilevel"/>
    <w:tmpl w:val="74401E45"/>
    <w:lvl w:ilvl="0" w:tentative="0">
      <w:start w:val="1"/>
      <w:numFmt w:val="chineseCountingThousand"/>
      <w:lvlText w:val="(%1)"/>
      <w:lvlJc w:val="left"/>
      <w:pPr>
        <w:tabs>
          <w:tab w:val="left" w:pos="432"/>
        </w:tabs>
        <w:ind w:left="432" w:hanging="432"/>
      </w:pPr>
    </w:lvl>
    <w:lvl w:ilvl="1" w:tentative="0">
      <w:start w:val="1"/>
      <w:numFmt w:val="decimal"/>
      <w:lvlText w:val="%1.%2"/>
      <w:lvlJc w:val="left"/>
      <w:pPr>
        <w:tabs>
          <w:tab w:val="left" w:pos="2278"/>
        </w:tabs>
        <w:ind w:left="2278" w:hanging="576"/>
      </w:pPr>
    </w:lvl>
    <w:lvl w:ilvl="2" w:tentative="0">
      <w:start w:val="1"/>
      <w:numFmt w:val="decimal"/>
      <w:lvlText w:val="%1.%2.%3"/>
      <w:lvlJc w:val="left"/>
      <w:pPr>
        <w:tabs>
          <w:tab w:val="left" w:pos="1571"/>
        </w:tabs>
        <w:ind w:left="1571"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DE5"/>
    <w:rsid w:val="00010121"/>
    <w:rsid w:val="000134E2"/>
    <w:rsid w:val="000138F5"/>
    <w:rsid w:val="00017BFB"/>
    <w:rsid w:val="00025654"/>
    <w:rsid w:val="00025661"/>
    <w:rsid w:val="00040079"/>
    <w:rsid w:val="000403D0"/>
    <w:rsid w:val="000428AB"/>
    <w:rsid w:val="00042B24"/>
    <w:rsid w:val="00042C26"/>
    <w:rsid w:val="00044250"/>
    <w:rsid w:val="0005647F"/>
    <w:rsid w:val="00061432"/>
    <w:rsid w:val="000623B4"/>
    <w:rsid w:val="00063092"/>
    <w:rsid w:val="00081434"/>
    <w:rsid w:val="00081B4A"/>
    <w:rsid w:val="00081FBD"/>
    <w:rsid w:val="00084913"/>
    <w:rsid w:val="000876BC"/>
    <w:rsid w:val="000906AE"/>
    <w:rsid w:val="000A6E12"/>
    <w:rsid w:val="000B2D33"/>
    <w:rsid w:val="000C00C0"/>
    <w:rsid w:val="000C0FA5"/>
    <w:rsid w:val="000C35DD"/>
    <w:rsid w:val="000D066B"/>
    <w:rsid w:val="000D255D"/>
    <w:rsid w:val="000E5458"/>
    <w:rsid w:val="000E5B40"/>
    <w:rsid w:val="000F4E81"/>
    <w:rsid w:val="000F6FD1"/>
    <w:rsid w:val="00103B73"/>
    <w:rsid w:val="001050DF"/>
    <w:rsid w:val="00120581"/>
    <w:rsid w:val="00120696"/>
    <w:rsid w:val="00133264"/>
    <w:rsid w:val="001378E4"/>
    <w:rsid w:val="00144EB9"/>
    <w:rsid w:val="00147C80"/>
    <w:rsid w:val="00150FDE"/>
    <w:rsid w:val="00167A7C"/>
    <w:rsid w:val="0017295F"/>
    <w:rsid w:val="00172A27"/>
    <w:rsid w:val="001736F6"/>
    <w:rsid w:val="001736FC"/>
    <w:rsid w:val="00175051"/>
    <w:rsid w:val="0018029A"/>
    <w:rsid w:val="001817D2"/>
    <w:rsid w:val="0019318F"/>
    <w:rsid w:val="0019687F"/>
    <w:rsid w:val="001A101C"/>
    <w:rsid w:val="001A11A6"/>
    <w:rsid w:val="001A451E"/>
    <w:rsid w:val="001A60D4"/>
    <w:rsid w:val="001B139D"/>
    <w:rsid w:val="001B2EBB"/>
    <w:rsid w:val="001B3835"/>
    <w:rsid w:val="001B43D0"/>
    <w:rsid w:val="001B5397"/>
    <w:rsid w:val="001B795E"/>
    <w:rsid w:val="001C289E"/>
    <w:rsid w:val="001C7E81"/>
    <w:rsid w:val="001D3A02"/>
    <w:rsid w:val="001D7188"/>
    <w:rsid w:val="001E0C54"/>
    <w:rsid w:val="001E1757"/>
    <w:rsid w:val="001F1845"/>
    <w:rsid w:val="001F2020"/>
    <w:rsid w:val="001F698A"/>
    <w:rsid w:val="002019DE"/>
    <w:rsid w:val="00207BEE"/>
    <w:rsid w:val="00227870"/>
    <w:rsid w:val="0023599B"/>
    <w:rsid w:val="00245ADD"/>
    <w:rsid w:val="002504A9"/>
    <w:rsid w:val="00255A64"/>
    <w:rsid w:val="002578C2"/>
    <w:rsid w:val="00271142"/>
    <w:rsid w:val="0028138A"/>
    <w:rsid w:val="00291188"/>
    <w:rsid w:val="002955E1"/>
    <w:rsid w:val="00296387"/>
    <w:rsid w:val="002A0468"/>
    <w:rsid w:val="002A1C86"/>
    <w:rsid w:val="002A4A59"/>
    <w:rsid w:val="002B132A"/>
    <w:rsid w:val="002B6439"/>
    <w:rsid w:val="002C0E57"/>
    <w:rsid w:val="002C5D33"/>
    <w:rsid w:val="002D240E"/>
    <w:rsid w:val="002D2525"/>
    <w:rsid w:val="002D2C50"/>
    <w:rsid w:val="002D37BB"/>
    <w:rsid w:val="002D7295"/>
    <w:rsid w:val="002E5FA6"/>
    <w:rsid w:val="002F0A40"/>
    <w:rsid w:val="00300DE4"/>
    <w:rsid w:val="003017B7"/>
    <w:rsid w:val="00302EDD"/>
    <w:rsid w:val="00306AE6"/>
    <w:rsid w:val="00310046"/>
    <w:rsid w:val="00315198"/>
    <w:rsid w:val="00320683"/>
    <w:rsid w:val="0033170C"/>
    <w:rsid w:val="00334906"/>
    <w:rsid w:val="0033615C"/>
    <w:rsid w:val="00336CC0"/>
    <w:rsid w:val="0033756B"/>
    <w:rsid w:val="00337587"/>
    <w:rsid w:val="003439D6"/>
    <w:rsid w:val="003453A5"/>
    <w:rsid w:val="003529B5"/>
    <w:rsid w:val="00363F4E"/>
    <w:rsid w:val="003771B3"/>
    <w:rsid w:val="00380635"/>
    <w:rsid w:val="00391BA6"/>
    <w:rsid w:val="003923C4"/>
    <w:rsid w:val="00394C33"/>
    <w:rsid w:val="00396B98"/>
    <w:rsid w:val="003A51BA"/>
    <w:rsid w:val="003B2DC5"/>
    <w:rsid w:val="003B2FAF"/>
    <w:rsid w:val="003B69FB"/>
    <w:rsid w:val="003C1CF0"/>
    <w:rsid w:val="003C7074"/>
    <w:rsid w:val="003D11A2"/>
    <w:rsid w:val="003D19E3"/>
    <w:rsid w:val="003D349C"/>
    <w:rsid w:val="003E0131"/>
    <w:rsid w:val="003E2C98"/>
    <w:rsid w:val="003E4A8B"/>
    <w:rsid w:val="003E7E32"/>
    <w:rsid w:val="00411933"/>
    <w:rsid w:val="00412374"/>
    <w:rsid w:val="00423E32"/>
    <w:rsid w:val="00441395"/>
    <w:rsid w:val="00447111"/>
    <w:rsid w:val="00457BEC"/>
    <w:rsid w:val="00457D65"/>
    <w:rsid w:val="00463ECB"/>
    <w:rsid w:val="00466719"/>
    <w:rsid w:val="00467C69"/>
    <w:rsid w:val="004732FB"/>
    <w:rsid w:val="004756C0"/>
    <w:rsid w:val="004877AE"/>
    <w:rsid w:val="00490CBB"/>
    <w:rsid w:val="0049646E"/>
    <w:rsid w:val="00496C72"/>
    <w:rsid w:val="004A1C98"/>
    <w:rsid w:val="004A4DC0"/>
    <w:rsid w:val="004A76DC"/>
    <w:rsid w:val="004B0A7E"/>
    <w:rsid w:val="004B4642"/>
    <w:rsid w:val="004B4D7C"/>
    <w:rsid w:val="004D4DDD"/>
    <w:rsid w:val="004D4FF6"/>
    <w:rsid w:val="004D54DD"/>
    <w:rsid w:val="004D62FF"/>
    <w:rsid w:val="004E5D5D"/>
    <w:rsid w:val="004E5F22"/>
    <w:rsid w:val="004F59BF"/>
    <w:rsid w:val="00500DA1"/>
    <w:rsid w:val="005022F9"/>
    <w:rsid w:val="0050632B"/>
    <w:rsid w:val="005120E1"/>
    <w:rsid w:val="00517EF7"/>
    <w:rsid w:val="00526D6B"/>
    <w:rsid w:val="00534554"/>
    <w:rsid w:val="005353E2"/>
    <w:rsid w:val="00536523"/>
    <w:rsid w:val="00540F1D"/>
    <w:rsid w:val="00564E61"/>
    <w:rsid w:val="0056578D"/>
    <w:rsid w:val="00566F7E"/>
    <w:rsid w:val="00576DAA"/>
    <w:rsid w:val="00583179"/>
    <w:rsid w:val="00587A56"/>
    <w:rsid w:val="00591D04"/>
    <w:rsid w:val="005A5DD6"/>
    <w:rsid w:val="005A7FB5"/>
    <w:rsid w:val="005C21E9"/>
    <w:rsid w:val="005C3ECB"/>
    <w:rsid w:val="005C5E14"/>
    <w:rsid w:val="005E13D0"/>
    <w:rsid w:val="005F3EDD"/>
    <w:rsid w:val="005F643E"/>
    <w:rsid w:val="00607399"/>
    <w:rsid w:val="006241D4"/>
    <w:rsid w:val="00635479"/>
    <w:rsid w:val="00642CBA"/>
    <w:rsid w:val="006539AD"/>
    <w:rsid w:val="00657270"/>
    <w:rsid w:val="00661CEA"/>
    <w:rsid w:val="00663DDB"/>
    <w:rsid w:val="00664F66"/>
    <w:rsid w:val="0067668E"/>
    <w:rsid w:val="00684452"/>
    <w:rsid w:val="0069295D"/>
    <w:rsid w:val="00692EB3"/>
    <w:rsid w:val="00696647"/>
    <w:rsid w:val="006A4FE9"/>
    <w:rsid w:val="006A58AF"/>
    <w:rsid w:val="006B0D17"/>
    <w:rsid w:val="006C1CE9"/>
    <w:rsid w:val="006D15F2"/>
    <w:rsid w:val="006D1E4C"/>
    <w:rsid w:val="006D51FA"/>
    <w:rsid w:val="006E32E2"/>
    <w:rsid w:val="006E5030"/>
    <w:rsid w:val="006F00C7"/>
    <w:rsid w:val="006F32A5"/>
    <w:rsid w:val="007006AB"/>
    <w:rsid w:val="0074410D"/>
    <w:rsid w:val="00745920"/>
    <w:rsid w:val="00762372"/>
    <w:rsid w:val="00763A5B"/>
    <w:rsid w:val="00763CBF"/>
    <w:rsid w:val="007648FA"/>
    <w:rsid w:val="00773265"/>
    <w:rsid w:val="00776D46"/>
    <w:rsid w:val="0078258F"/>
    <w:rsid w:val="0078523E"/>
    <w:rsid w:val="00791FA0"/>
    <w:rsid w:val="00794C68"/>
    <w:rsid w:val="00795385"/>
    <w:rsid w:val="00796CAE"/>
    <w:rsid w:val="007A0F6A"/>
    <w:rsid w:val="007A1CBA"/>
    <w:rsid w:val="007B1918"/>
    <w:rsid w:val="007B2887"/>
    <w:rsid w:val="007B2D9D"/>
    <w:rsid w:val="007B3DD1"/>
    <w:rsid w:val="007C11BA"/>
    <w:rsid w:val="007C1FEB"/>
    <w:rsid w:val="007C5634"/>
    <w:rsid w:val="007C6753"/>
    <w:rsid w:val="007D06B3"/>
    <w:rsid w:val="007D73D2"/>
    <w:rsid w:val="007E134D"/>
    <w:rsid w:val="007E1918"/>
    <w:rsid w:val="007F7698"/>
    <w:rsid w:val="00806982"/>
    <w:rsid w:val="008118B3"/>
    <w:rsid w:val="00814830"/>
    <w:rsid w:val="00815B70"/>
    <w:rsid w:val="00822014"/>
    <w:rsid w:val="00824A7F"/>
    <w:rsid w:val="00830679"/>
    <w:rsid w:val="008331FB"/>
    <w:rsid w:val="00833343"/>
    <w:rsid w:val="00834F2E"/>
    <w:rsid w:val="008377C5"/>
    <w:rsid w:val="008428FA"/>
    <w:rsid w:val="00850600"/>
    <w:rsid w:val="0085350E"/>
    <w:rsid w:val="0086015C"/>
    <w:rsid w:val="00860E7F"/>
    <w:rsid w:val="008614B2"/>
    <w:rsid w:val="008639CD"/>
    <w:rsid w:val="00873FE1"/>
    <w:rsid w:val="00883960"/>
    <w:rsid w:val="008926A8"/>
    <w:rsid w:val="008A4C5E"/>
    <w:rsid w:val="008A7BFC"/>
    <w:rsid w:val="008D6B32"/>
    <w:rsid w:val="008E16D4"/>
    <w:rsid w:val="008E2EC2"/>
    <w:rsid w:val="008E66A0"/>
    <w:rsid w:val="008F7B9E"/>
    <w:rsid w:val="0090129D"/>
    <w:rsid w:val="00907DA8"/>
    <w:rsid w:val="00912EB1"/>
    <w:rsid w:val="0091524A"/>
    <w:rsid w:val="0093006D"/>
    <w:rsid w:val="009324E9"/>
    <w:rsid w:val="00940777"/>
    <w:rsid w:val="0094171B"/>
    <w:rsid w:val="00951C91"/>
    <w:rsid w:val="00954A1F"/>
    <w:rsid w:val="0096022A"/>
    <w:rsid w:val="009709BC"/>
    <w:rsid w:val="0097180E"/>
    <w:rsid w:val="00972141"/>
    <w:rsid w:val="00981D25"/>
    <w:rsid w:val="00984D4F"/>
    <w:rsid w:val="00991903"/>
    <w:rsid w:val="00997729"/>
    <w:rsid w:val="009A05A8"/>
    <w:rsid w:val="009B183F"/>
    <w:rsid w:val="009B5742"/>
    <w:rsid w:val="009D6BD6"/>
    <w:rsid w:val="009E055B"/>
    <w:rsid w:val="009E7E40"/>
    <w:rsid w:val="009F1857"/>
    <w:rsid w:val="009F2C27"/>
    <w:rsid w:val="00A01514"/>
    <w:rsid w:val="00A045A6"/>
    <w:rsid w:val="00A14051"/>
    <w:rsid w:val="00A1748C"/>
    <w:rsid w:val="00A2496B"/>
    <w:rsid w:val="00A25C93"/>
    <w:rsid w:val="00A3106F"/>
    <w:rsid w:val="00A37AAD"/>
    <w:rsid w:val="00A43682"/>
    <w:rsid w:val="00A47C65"/>
    <w:rsid w:val="00A51700"/>
    <w:rsid w:val="00A55832"/>
    <w:rsid w:val="00A57DC3"/>
    <w:rsid w:val="00A60F30"/>
    <w:rsid w:val="00A616FE"/>
    <w:rsid w:val="00A623CF"/>
    <w:rsid w:val="00A7521A"/>
    <w:rsid w:val="00A9027E"/>
    <w:rsid w:val="00AA0DE1"/>
    <w:rsid w:val="00AB25A0"/>
    <w:rsid w:val="00AB5417"/>
    <w:rsid w:val="00AB5AB0"/>
    <w:rsid w:val="00AC4C5B"/>
    <w:rsid w:val="00AD2ED2"/>
    <w:rsid w:val="00AD3F67"/>
    <w:rsid w:val="00AE1383"/>
    <w:rsid w:val="00AE74AD"/>
    <w:rsid w:val="00AE7A81"/>
    <w:rsid w:val="00AF5F18"/>
    <w:rsid w:val="00AF73C1"/>
    <w:rsid w:val="00AF7864"/>
    <w:rsid w:val="00B00249"/>
    <w:rsid w:val="00B04543"/>
    <w:rsid w:val="00B06CEB"/>
    <w:rsid w:val="00B12524"/>
    <w:rsid w:val="00B20582"/>
    <w:rsid w:val="00B2382B"/>
    <w:rsid w:val="00B24AB2"/>
    <w:rsid w:val="00B36124"/>
    <w:rsid w:val="00B44DF2"/>
    <w:rsid w:val="00B5024A"/>
    <w:rsid w:val="00B51267"/>
    <w:rsid w:val="00B5506F"/>
    <w:rsid w:val="00B72F21"/>
    <w:rsid w:val="00B7704C"/>
    <w:rsid w:val="00B85B96"/>
    <w:rsid w:val="00B85CB0"/>
    <w:rsid w:val="00B87BBC"/>
    <w:rsid w:val="00BA7326"/>
    <w:rsid w:val="00BB0BE3"/>
    <w:rsid w:val="00BB0F87"/>
    <w:rsid w:val="00BB5ED1"/>
    <w:rsid w:val="00BD35D0"/>
    <w:rsid w:val="00BE280B"/>
    <w:rsid w:val="00BF4242"/>
    <w:rsid w:val="00BF704E"/>
    <w:rsid w:val="00C00514"/>
    <w:rsid w:val="00C0122A"/>
    <w:rsid w:val="00C11A7A"/>
    <w:rsid w:val="00C11ADF"/>
    <w:rsid w:val="00C1468B"/>
    <w:rsid w:val="00C16C99"/>
    <w:rsid w:val="00C27DCF"/>
    <w:rsid w:val="00C33D95"/>
    <w:rsid w:val="00C41842"/>
    <w:rsid w:val="00C5693A"/>
    <w:rsid w:val="00C578F3"/>
    <w:rsid w:val="00C62C62"/>
    <w:rsid w:val="00C75D0E"/>
    <w:rsid w:val="00C848F0"/>
    <w:rsid w:val="00C8642D"/>
    <w:rsid w:val="00C9777F"/>
    <w:rsid w:val="00C9784E"/>
    <w:rsid w:val="00CA6A98"/>
    <w:rsid w:val="00CB2162"/>
    <w:rsid w:val="00CB2CC1"/>
    <w:rsid w:val="00CC30AC"/>
    <w:rsid w:val="00CD02BF"/>
    <w:rsid w:val="00CD42B0"/>
    <w:rsid w:val="00CF3AA6"/>
    <w:rsid w:val="00CF60A6"/>
    <w:rsid w:val="00D12A46"/>
    <w:rsid w:val="00D14FBB"/>
    <w:rsid w:val="00D1586D"/>
    <w:rsid w:val="00D210EA"/>
    <w:rsid w:val="00D2406E"/>
    <w:rsid w:val="00D31E1B"/>
    <w:rsid w:val="00D35787"/>
    <w:rsid w:val="00D44F6C"/>
    <w:rsid w:val="00D51373"/>
    <w:rsid w:val="00D61C97"/>
    <w:rsid w:val="00D67FB8"/>
    <w:rsid w:val="00D719FE"/>
    <w:rsid w:val="00D741F5"/>
    <w:rsid w:val="00D74226"/>
    <w:rsid w:val="00D81FFE"/>
    <w:rsid w:val="00D877EF"/>
    <w:rsid w:val="00D87B65"/>
    <w:rsid w:val="00D9176E"/>
    <w:rsid w:val="00D93D94"/>
    <w:rsid w:val="00D95DCA"/>
    <w:rsid w:val="00DA30F2"/>
    <w:rsid w:val="00DB0C76"/>
    <w:rsid w:val="00DB1A33"/>
    <w:rsid w:val="00DB2094"/>
    <w:rsid w:val="00DB4604"/>
    <w:rsid w:val="00DC1803"/>
    <w:rsid w:val="00DD0C41"/>
    <w:rsid w:val="00DD1009"/>
    <w:rsid w:val="00DD1790"/>
    <w:rsid w:val="00DE45C0"/>
    <w:rsid w:val="00DE488E"/>
    <w:rsid w:val="00DF09C5"/>
    <w:rsid w:val="00DF4816"/>
    <w:rsid w:val="00DF5170"/>
    <w:rsid w:val="00DF7226"/>
    <w:rsid w:val="00DF7E19"/>
    <w:rsid w:val="00E060FB"/>
    <w:rsid w:val="00E20450"/>
    <w:rsid w:val="00E213CE"/>
    <w:rsid w:val="00E244CA"/>
    <w:rsid w:val="00E24B8F"/>
    <w:rsid w:val="00E27575"/>
    <w:rsid w:val="00E27689"/>
    <w:rsid w:val="00E3419B"/>
    <w:rsid w:val="00E353B2"/>
    <w:rsid w:val="00E36E73"/>
    <w:rsid w:val="00E37CC6"/>
    <w:rsid w:val="00E45551"/>
    <w:rsid w:val="00E46999"/>
    <w:rsid w:val="00E46A32"/>
    <w:rsid w:val="00E4786F"/>
    <w:rsid w:val="00E53DDF"/>
    <w:rsid w:val="00E61BC3"/>
    <w:rsid w:val="00E66045"/>
    <w:rsid w:val="00E72A56"/>
    <w:rsid w:val="00E77BC4"/>
    <w:rsid w:val="00E96AC2"/>
    <w:rsid w:val="00EA2194"/>
    <w:rsid w:val="00EA3ED3"/>
    <w:rsid w:val="00EA5914"/>
    <w:rsid w:val="00EA702D"/>
    <w:rsid w:val="00EB0262"/>
    <w:rsid w:val="00EB4026"/>
    <w:rsid w:val="00EC0081"/>
    <w:rsid w:val="00EC141F"/>
    <w:rsid w:val="00EC4744"/>
    <w:rsid w:val="00ED61F9"/>
    <w:rsid w:val="00EE7804"/>
    <w:rsid w:val="00EF002D"/>
    <w:rsid w:val="00F05FC7"/>
    <w:rsid w:val="00F06E76"/>
    <w:rsid w:val="00F070AB"/>
    <w:rsid w:val="00F15A90"/>
    <w:rsid w:val="00F210A1"/>
    <w:rsid w:val="00F21245"/>
    <w:rsid w:val="00F32C02"/>
    <w:rsid w:val="00F36272"/>
    <w:rsid w:val="00F40DF5"/>
    <w:rsid w:val="00F43343"/>
    <w:rsid w:val="00F51F73"/>
    <w:rsid w:val="00F561E1"/>
    <w:rsid w:val="00F56850"/>
    <w:rsid w:val="00F57122"/>
    <w:rsid w:val="00F6159A"/>
    <w:rsid w:val="00F678FB"/>
    <w:rsid w:val="00F80823"/>
    <w:rsid w:val="00F93697"/>
    <w:rsid w:val="00F94EA4"/>
    <w:rsid w:val="00F96829"/>
    <w:rsid w:val="00FA7D82"/>
    <w:rsid w:val="00FB5785"/>
    <w:rsid w:val="00FC5531"/>
    <w:rsid w:val="00FD0D23"/>
    <w:rsid w:val="00FD20E3"/>
    <w:rsid w:val="00FD25FE"/>
    <w:rsid w:val="00FD7FA0"/>
    <w:rsid w:val="00FE1593"/>
    <w:rsid w:val="00FE2FC7"/>
    <w:rsid w:val="00FF00A7"/>
    <w:rsid w:val="00FF4AFD"/>
    <w:rsid w:val="017B2701"/>
    <w:rsid w:val="01D905A0"/>
    <w:rsid w:val="030B2CCC"/>
    <w:rsid w:val="04027161"/>
    <w:rsid w:val="045370A8"/>
    <w:rsid w:val="045F6B9B"/>
    <w:rsid w:val="048E35EF"/>
    <w:rsid w:val="04A92A3C"/>
    <w:rsid w:val="05161060"/>
    <w:rsid w:val="052123A0"/>
    <w:rsid w:val="05D9289E"/>
    <w:rsid w:val="061A2A5F"/>
    <w:rsid w:val="06C824AF"/>
    <w:rsid w:val="07FD0E32"/>
    <w:rsid w:val="080F49BC"/>
    <w:rsid w:val="085D6171"/>
    <w:rsid w:val="08F8007E"/>
    <w:rsid w:val="0B7826F2"/>
    <w:rsid w:val="0C2C3645"/>
    <w:rsid w:val="0CA830A9"/>
    <w:rsid w:val="0D180B0A"/>
    <w:rsid w:val="0DC45EDF"/>
    <w:rsid w:val="0DE93011"/>
    <w:rsid w:val="0E544833"/>
    <w:rsid w:val="0E587C10"/>
    <w:rsid w:val="0F585159"/>
    <w:rsid w:val="101258AC"/>
    <w:rsid w:val="11052878"/>
    <w:rsid w:val="138F7287"/>
    <w:rsid w:val="14192728"/>
    <w:rsid w:val="142C7A34"/>
    <w:rsid w:val="14455FF9"/>
    <w:rsid w:val="15443000"/>
    <w:rsid w:val="16070E41"/>
    <w:rsid w:val="161708C0"/>
    <w:rsid w:val="184D447E"/>
    <w:rsid w:val="19023F34"/>
    <w:rsid w:val="19793B8F"/>
    <w:rsid w:val="19BD7FCA"/>
    <w:rsid w:val="1A0659A3"/>
    <w:rsid w:val="1BD62E26"/>
    <w:rsid w:val="1CC045BE"/>
    <w:rsid w:val="1E2212B0"/>
    <w:rsid w:val="1E240DFC"/>
    <w:rsid w:val="1E48214F"/>
    <w:rsid w:val="1F182D34"/>
    <w:rsid w:val="1F7A2683"/>
    <w:rsid w:val="1FA03EF2"/>
    <w:rsid w:val="1FDA22F1"/>
    <w:rsid w:val="215F2D95"/>
    <w:rsid w:val="21EC1996"/>
    <w:rsid w:val="22F738B1"/>
    <w:rsid w:val="234842BF"/>
    <w:rsid w:val="24293C0A"/>
    <w:rsid w:val="246F1483"/>
    <w:rsid w:val="2485343D"/>
    <w:rsid w:val="24D50BFC"/>
    <w:rsid w:val="26562782"/>
    <w:rsid w:val="26D22DA5"/>
    <w:rsid w:val="26D3697C"/>
    <w:rsid w:val="2829733C"/>
    <w:rsid w:val="29821A39"/>
    <w:rsid w:val="29C646D9"/>
    <w:rsid w:val="2A1950EC"/>
    <w:rsid w:val="2A5263D0"/>
    <w:rsid w:val="2AB0632F"/>
    <w:rsid w:val="2AF27C3D"/>
    <w:rsid w:val="2B5A68AC"/>
    <w:rsid w:val="2DDF4808"/>
    <w:rsid w:val="2E4317F2"/>
    <w:rsid w:val="2E662925"/>
    <w:rsid w:val="2EB824C7"/>
    <w:rsid w:val="2F77416E"/>
    <w:rsid w:val="2F8A5CD0"/>
    <w:rsid w:val="300A1801"/>
    <w:rsid w:val="324803BF"/>
    <w:rsid w:val="334E617B"/>
    <w:rsid w:val="348D4C3E"/>
    <w:rsid w:val="34901D81"/>
    <w:rsid w:val="34E10B10"/>
    <w:rsid w:val="36865D5F"/>
    <w:rsid w:val="373F4487"/>
    <w:rsid w:val="395D316F"/>
    <w:rsid w:val="39D376AF"/>
    <w:rsid w:val="3B3955B9"/>
    <w:rsid w:val="3C6F549A"/>
    <w:rsid w:val="3C756255"/>
    <w:rsid w:val="3D0F48FB"/>
    <w:rsid w:val="3DD03F78"/>
    <w:rsid w:val="3E986769"/>
    <w:rsid w:val="3EFE69D5"/>
    <w:rsid w:val="3F232139"/>
    <w:rsid w:val="3FAB37E7"/>
    <w:rsid w:val="43084FD4"/>
    <w:rsid w:val="4312047A"/>
    <w:rsid w:val="45296769"/>
    <w:rsid w:val="4568104C"/>
    <w:rsid w:val="45F749B8"/>
    <w:rsid w:val="494F074A"/>
    <w:rsid w:val="49EA0FE7"/>
    <w:rsid w:val="4AAA00AD"/>
    <w:rsid w:val="4ADD2616"/>
    <w:rsid w:val="4B191EA6"/>
    <w:rsid w:val="4B1F5D09"/>
    <w:rsid w:val="4B812670"/>
    <w:rsid w:val="4C78699E"/>
    <w:rsid w:val="4D3032B0"/>
    <w:rsid w:val="4E9E3183"/>
    <w:rsid w:val="505C0FEB"/>
    <w:rsid w:val="511C30C4"/>
    <w:rsid w:val="51F03BFE"/>
    <w:rsid w:val="5221680B"/>
    <w:rsid w:val="533B11FF"/>
    <w:rsid w:val="53BA754F"/>
    <w:rsid w:val="53BD5890"/>
    <w:rsid w:val="542B3270"/>
    <w:rsid w:val="5492094F"/>
    <w:rsid w:val="553B42C3"/>
    <w:rsid w:val="57972B8A"/>
    <w:rsid w:val="57A065D8"/>
    <w:rsid w:val="58C3686E"/>
    <w:rsid w:val="58FC1755"/>
    <w:rsid w:val="597E40F8"/>
    <w:rsid w:val="598A65AF"/>
    <w:rsid w:val="5A7D47FA"/>
    <w:rsid w:val="5AB75C67"/>
    <w:rsid w:val="5AE97612"/>
    <w:rsid w:val="5AF0321E"/>
    <w:rsid w:val="5BD160FB"/>
    <w:rsid w:val="5BD40D92"/>
    <w:rsid w:val="5CAF10D4"/>
    <w:rsid w:val="5E9D546B"/>
    <w:rsid w:val="5FA145AF"/>
    <w:rsid w:val="60BD3F66"/>
    <w:rsid w:val="60DC73E6"/>
    <w:rsid w:val="60EF5D26"/>
    <w:rsid w:val="63822E81"/>
    <w:rsid w:val="650B0753"/>
    <w:rsid w:val="65811262"/>
    <w:rsid w:val="66887883"/>
    <w:rsid w:val="679E56E3"/>
    <w:rsid w:val="68920B42"/>
    <w:rsid w:val="69041ADC"/>
    <w:rsid w:val="69070849"/>
    <w:rsid w:val="69BD345C"/>
    <w:rsid w:val="69E520A4"/>
    <w:rsid w:val="6A292C42"/>
    <w:rsid w:val="6AD6446F"/>
    <w:rsid w:val="6B1D1948"/>
    <w:rsid w:val="6BAC7F32"/>
    <w:rsid w:val="6C0E5F94"/>
    <w:rsid w:val="6CDC72B5"/>
    <w:rsid w:val="6D4A0625"/>
    <w:rsid w:val="6D83704B"/>
    <w:rsid w:val="6EA87A60"/>
    <w:rsid w:val="6EAC08B2"/>
    <w:rsid w:val="6ED9046A"/>
    <w:rsid w:val="6FE0321B"/>
    <w:rsid w:val="717F0163"/>
    <w:rsid w:val="7185070D"/>
    <w:rsid w:val="72527B4A"/>
    <w:rsid w:val="73D0568F"/>
    <w:rsid w:val="754819F8"/>
    <w:rsid w:val="75D9437D"/>
    <w:rsid w:val="76251F2B"/>
    <w:rsid w:val="763151F9"/>
    <w:rsid w:val="775F1E43"/>
    <w:rsid w:val="777C3F16"/>
    <w:rsid w:val="77F775BA"/>
    <w:rsid w:val="79BE564B"/>
    <w:rsid w:val="79DE63D4"/>
    <w:rsid w:val="7A4721AF"/>
    <w:rsid w:val="7A594EE6"/>
    <w:rsid w:val="7C2A25DC"/>
    <w:rsid w:val="7C64035E"/>
    <w:rsid w:val="7C687527"/>
    <w:rsid w:val="7CBC51FE"/>
    <w:rsid w:val="7CE03865"/>
    <w:rsid w:val="7DFF53A3"/>
    <w:rsid w:val="7EE747B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9">
    <w:name w:val="heading 1"/>
    <w:basedOn w:val="1"/>
    <w:next w:val="1"/>
    <w:link w:val="39"/>
    <w:qFormat/>
    <w:uiPriority w:val="0"/>
    <w:pPr>
      <w:keepNext/>
      <w:keepLines/>
      <w:widowControl/>
      <w:numPr>
        <w:ilvl w:val="0"/>
        <w:numId w:val="1"/>
      </w:numPr>
      <w:spacing w:before="240" w:line="360" w:lineRule="auto"/>
      <w:outlineLvl w:val="0"/>
    </w:pPr>
    <w:rPr>
      <w:rFonts w:ascii="宋体" w:hAnsi="宋体"/>
      <w:b/>
      <w:kern w:val="44"/>
      <w:sz w:val="28"/>
    </w:rPr>
  </w:style>
  <w:style w:type="paragraph" w:styleId="10">
    <w:name w:val="heading 2"/>
    <w:basedOn w:val="1"/>
    <w:next w:val="1"/>
    <w:link w:val="40"/>
    <w:qFormat/>
    <w:uiPriority w:val="0"/>
    <w:pPr>
      <w:keepLines/>
      <w:numPr>
        <w:ilvl w:val="1"/>
        <w:numId w:val="1"/>
      </w:numPr>
      <w:spacing w:beforeLines="50" w:afterLines="50" w:line="360" w:lineRule="auto"/>
      <w:jc w:val="left"/>
      <w:outlineLvl w:val="1"/>
    </w:pPr>
    <w:rPr>
      <w:rFonts w:ascii="宋体" w:hAnsi="Arial"/>
      <w:b/>
      <w:kern w:val="44"/>
      <w:sz w:val="24"/>
    </w:rPr>
  </w:style>
  <w:style w:type="paragraph" w:styleId="11">
    <w:name w:val="heading 3"/>
    <w:basedOn w:val="1"/>
    <w:next w:val="1"/>
    <w:link w:val="41"/>
    <w:qFormat/>
    <w:uiPriority w:val="0"/>
    <w:pPr>
      <w:numPr>
        <w:ilvl w:val="2"/>
        <w:numId w:val="1"/>
      </w:numPr>
      <w:spacing w:line="360" w:lineRule="auto"/>
      <w:outlineLvl w:val="2"/>
    </w:pPr>
    <w:rPr>
      <w:rFonts w:ascii="宋体"/>
      <w:kern w:val="0"/>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left="0" w:leftChars="0"/>
    </w:pPr>
  </w:style>
  <w:style w:type="paragraph" w:styleId="3">
    <w:name w:val="Body Text Indent"/>
    <w:basedOn w:val="1"/>
    <w:next w:val="4"/>
    <w:link w:val="37"/>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footer"/>
    <w:basedOn w:val="1"/>
    <w:next w:val="6"/>
    <w:link w:val="38"/>
    <w:qFormat/>
    <w:uiPriority w:val="99"/>
    <w:pPr>
      <w:widowControl/>
      <w:tabs>
        <w:tab w:val="center" w:pos="4153"/>
        <w:tab w:val="right" w:pos="8306"/>
      </w:tabs>
      <w:snapToGrid w:val="0"/>
      <w:spacing w:line="360" w:lineRule="auto"/>
      <w:jc w:val="left"/>
    </w:pPr>
    <w:rPr>
      <w:kern w:val="0"/>
      <w:sz w:val="18"/>
    </w:rPr>
  </w:style>
  <w:style w:type="paragraph" w:customStyle="1" w:styleId="6">
    <w:name w:val="vsbcontent_start"/>
    <w:basedOn w:val="1"/>
    <w:next w:val="7"/>
    <w:qFormat/>
    <w:uiPriority w:val="0"/>
    <w:pPr>
      <w:widowControl/>
      <w:jc w:val="left"/>
    </w:pPr>
    <w:rPr>
      <w:rFonts w:ascii="宋体" w:hAnsi="宋体" w:cs="宋体"/>
      <w:kern w:val="0"/>
      <w:sz w:val="24"/>
    </w:rPr>
  </w:style>
  <w:style w:type="paragraph" w:customStyle="1" w:styleId="7">
    <w:name w:val="Char Char Char1 Char8"/>
    <w:basedOn w:val="1"/>
    <w:next w:val="8"/>
    <w:qFormat/>
    <w:uiPriority w:val="0"/>
    <w:pPr>
      <w:autoSpaceDE w:val="0"/>
      <w:autoSpaceDN w:val="0"/>
      <w:spacing w:line="360" w:lineRule="auto"/>
    </w:pPr>
    <w:rPr>
      <w:rFonts w:hint="eastAsia" w:ascii="宋体" w:hAnsi="宋体"/>
      <w:sz w:val="24"/>
    </w:rPr>
  </w:style>
  <w:style w:type="paragraph" w:customStyle="1" w:styleId="8">
    <w:name w:val="Char Char Char1 Char1"/>
    <w:basedOn w:val="1"/>
    <w:qFormat/>
    <w:uiPriority w:val="0"/>
    <w:pPr>
      <w:spacing w:line="360" w:lineRule="auto"/>
      <w:ind w:firstLine="200" w:firstLineChars="200"/>
    </w:pPr>
    <w:rPr>
      <w:rFonts w:hint="eastAsia" w:ascii="宋体" w:hAnsi="宋体"/>
      <w:sz w:val="24"/>
    </w:rPr>
  </w:style>
  <w:style w:type="paragraph" w:styleId="12">
    <w:name w:val="Normal Indent"/>
    <w:basedOn w:val="1"/>
    <w:next w:val="2"/>
    <w:link w:val="42"/>
    <w:qFormat/>
    <w:uiPriority w:val="0"/>
    <w:pPr>
      <w:widowControl/>
      <w:spacing w:line="360" w:lineRule="auto"/>
      <w:ind w:firstLine="420"/>
      <w:jc w:val="left"/>
    </w:pPr>
    <w:rPr>
      <w:rFonts w:ascii="宋体"/>
      <w:kern w:val="0"/>
      <w:sz w:val="20"/>
    </w:rPr>
  </w:style>
  <w:style w:type="paragraph" w:styleId="13">
    <w:name w:val="Document Map"/>
    <w:basedOn w:val="1"/>
    <w:link w:val="43"/>
    <w:unhideWhenUsed/>
    <w:qFormat/>
    <w:uiPriority w:val="99"/>
    <w:rPr>
      <w:rFonts w:ascii="宋体"/>
      <w:sz w:val="18"/>
      <w:szCs w:val="18"/>
    </w:rPr>
  </w:style>
  <w:style w:type="paragraph" w:styleId="14">
    <w:name w:val="annotation text"/>
    <w:basedOn w:val="1"/>
    <w:link w:val="44"/>
    <w:unhideWhenUsed/>
    <w:qFormat/>
    <w:uiPriority w:val="99"/>
    <w:pPr>
      <w:jc w:val="left"/>
    </w:pPr>
  </w:style>
  <w:style w:type="paragraph" w:styleId="15">
    <w:name w:val="Body Text"/>
    <w:basedOn w:val="1"/>
    <w:next w:val="16"/>
    <w:qFormat/>
    <w:uiPriority w:val="0"/>
    <w:pPr>
      <w:spacing w:after="120"/>
    </w:pPr>
    <w:rPr>
      <w:kern w:val="0"/>
      <w:sz w:val="20"/>
    </w:rPr>
  </w:style>
  <w:style w:type="paragraph" w:styleId="16">
    <w:name w:val="Body Text First Indent"/>
    <w:basedOn w:val="15"/>
    <w:next w:val="12"/>
    <w:qFormat/>
    <w:uiPriority w:val="0"/>
    <w:pPr>
      <w:widowControl/>
      <w:ind w:firstLine="420" w:firstLineChars="100"/>
      <w:jc w:val="left"/>
    </w:pPr>
    <w:rPr>
      <w:sz w:val="24"/>
      <w:szCs w:val="24"/>
    </w:rPr>
  </w:style>
  <w:style w:type="paragraph" w:styleId="17">
    <w:name w:val="toc 3"/>
    <w:basedOn w:val="1"/>
    <w:next w:val="1"/>
    <w:unhideWhenUsed/>
    <w:qFormat/>
    <w:uiPriority w:val="39"/>
    <w:pPr>
      <w:ind w:left="840" w:leftChars="400"/>
    </w:pPr>
  </w:style>
  <w:style w:type="paragraph" w:styleId="18">
    <w:name w:val="Plain Text"/>
    <w:basedOn w:val="1"/>
    <w:link w:val="45"/>
    <w:qFormat/>
    <w:uiPriority w:val="0"/>
    <w:pPr>
      <w:spacing w:line="360" w:lineRule="auto"/>
    </w:pPr>
    <w:rPr>
      <w:rFonts w:ascii="宋体" w:hAnsi="Courier New"/>
      <w:kern w:val="0"/>
      <w:sz w:val="20"/>
    </w:rPr>
  </w:style>
  <w:style w:type="paragraph" w:styleId="19">
    <w:name w:val="endnote text"/>
    <w:basedOn w:val="1"/>
    <w:link w:val="46"/>
    <w:unhideWhenUsed/>
    <w:qFormat/>
    <w:uiPriority w:val="99"/>
    <w:pPr>
      <w:snapToGrid w:val="0"/>
      <w:jc w:val="left"/>
    </w:pPr>
  </w:style>
  <w:style w:type="paragraph" w:styleId="20">
    <w:name w:val="Balloon Text"/>
    <w:basedOn w:val="1"/>
    <w:link w:val="47"/>
    <w:unhideWhenUsed/>
    <w:qFormat/>
    <w:uiPriority w:val="99"/>
    <w:rPr>
      <w:sz w:val="18"/>
      <w:szCs w:val="18"/>
    </w:rPr>
  </w:style>
  <w:style w:type="paragraph" w:styleId="21">
    <w:name w:val="header"/>
    <w:basedOn w:val="1"/>
    <w:link w:val="48"/>
    <w:qFormat/>
    <w:uiPriority w:val="99"/>
    <w:pPr>
      <w:widowControl/>
      <w:pBdr>
        <w:bottom w:val="single" w:color="auto" w:sz="6" w:space="1"/>
      </w:pBdr>
      <w:tabs>
        <w:tab w:val="center" w:pos="4153"/>
        <w:tab w:val="right" w:pos="8306"/>
      </w:tabs>
      <w:snapToGrid w:val="0"/>
      <w:spacing w:line="360" w:lineRule="auto"/>
      <w:jc w:val="center"/>
    </w:pPr>
    <w:rPr>
      <w:kern w:val="0"/>
      <w:sz w:val="18"/>
    </w:rPr>
  </w:style>
  <w:style w:type="paragraph" w:styleId="22">
    <w:name w:val="toc 1"/>
    <w:basedOn w:val="1"/>
    <w:next w:val="1"/>
    <w:unhideWhenUsed/>
    <w:qFormat/>
    <w:uiPriority w:val="39"/>
    <w:pPr>
      <w:tabs>
        <w:tab w:val="right" w:leader="dot" w:pos="9232"/>
      </w:tabs>
      <w:jc w:val="center"/>
    </w:pPr>
  </w:style>
  <w:style w:type="paragraph" w:styleId="23">
    <w:name w:val="Body Text Indent 3"/>
    <w:basedOn w:val="1"/>
    <w:link w:val="49"/>
    <w:unhideWhenUsed/>
    <w:qFormat/>
    <w:uiPriority w:val="99"/>
    <w:pPr>
      <w:spacing w:after="120"/>
      <w:ind w:left="420" w:leftChars="200"/>
    </w:pPr>
    <w:rPr>
      <w:sz w:val="16"/>
      <w:szCs w:val="16"/>
    </w:rPr>
  </w:style>
  <w:style w:type="paragraph" w:styleId="24">
    <w:name w:val="toc 2"/>
    <w:basedOn w:val="1"/>
    <w:next w:val="1"/>
    <w:unhideWhenUsed/>
    <w:qFormat/>
    <w:uiPriority w:val="39"/>
    <w:pPr>
      <w:ind w:left="420" w:leftChars="200"/>
    </w:pPr>
  </w:style>
  <w:style w:type="paragraph" w:styleId="25">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unhideWhenUsed/>
    <w:qFormat/>
    <w:uiPriority w:val="99"/>
    <w:pPr>
      <w:spacing w:before="100" w:beforeAutospacing="1" w:after="100" w:afterAutospacing="1"/>
      <w:jc w:val="left"/>
    </w:pPr>
    <w:rPr>
      <w:kern w:val="0"/>
      <w:sz w:val="24"/>
    </w:rPr>
  </w:style>
  <w:style w:type="paragraph" w:styleId="27">
    <w:name w:val="Title"/>
    <w:basedOn w:val="1"/>
    <w:next w:val="1"/>
    <w:link w:val="51"/>
    <w:qFormat/>
    <w:uiPriority w:val="10"/>
    <w:pPr>
      <w:spacing w:before="240" w:after="60"/>
      <w:jc w:val="center"/>
      <w:outlineLvl w:val="0"/>
    </w:pPr>
    <w:rPr>
      <w:rFonts w:ascii="Cambria" w:hAnsi="Cambria" w:eastAsia="黑体"/>
      <w:bCs/>
      <w:sz w:val="44"/>
      <w:szCs w:val="32"/>
    </w:rPr>
  </w:style>
  <w:style w:type="paragraph" w:styleId="28">
    <w:name w:val="annotation subject"/>
    <w:basedOn w:val="14"/>
    <w:next w:val="14"/>
    <w:link w:val="52"/>
    <w:unhideWhenUsed/>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unhideWhenUsed/>
    <w:qFormat/>
    <w:uiPriority w:val="99"/>
    <w:rPr>
      <w:vertAlign w:val="superscript"/>
    </w:rPr>
  </w:style>
  <w:style w:type="character" w:styleId="33">
    <w:name w:val="page number"/>
    <w:basedOn w:val="31"/>
    <w:qFormat/>
    <w:uiPriority w:val="0"/>
  </w:style>
  <w:style w:type="character" w:styleId="34">
    <w:name w:val="FollowedHyperlink"/>
    <w:unhideWhenUsed/>
    <w:qFormat/>
    <w:uiPriority w:val="99"/>
    <w:rPr>
      <w:color w:val="999999"/>
      <w:u w:val="none"/>
    </w:rPr>
  </w:style>
  <w:style w:type="character" w:styleId="35">
    <w:name w:val="Hyperlink"/>
    <w:unhideWhenUsed/>
    <w:qFormat/>
    <w:uiPriority w:val="99"/>
    <w:rPr>
      <w:color w:val="999999"/>
      <w:u w:val="none"/>
    </w:rPr>
  </w:style>
  <w:style w:type="character" w:styleId="36">
    <w:name w:val="annotation reference"/>
    <w:unhideWhenUsed/>
    <w:qFormat/>
    <w:uiPriority w:val="99"/>
    <w:rPr>
      <w:sz w:val="21"/>
      <w:szCs w:val="21"/>
    </w:rPr>
  </w:style>
  <w:style w:type="character" w:customStyle="1" w:styleId="37">
    <w:name w:val="正文文本缩进 Char"/>
    <w:link w:val="3"/>
    <w:semiHidden/>
    <w:qFormat/>
    <w:uiPriority w:val="99"/>
    <w:rPr>
      <w:rFonts w:ascii="Times New Roman" w:hAnsi="Times New Roman"/>
      <w:kern w:val="2"/>
      <w:sz w:val="21"/>
    </w:rPr>
  </w:style>
  <w:style w:type="character" w:customStyle="1" w:styleId="38">
    <w:name w:val="页脚 Char"/>
    <w:link w:val="5"/>
    <w:qFormat/>
    <w:uiPriority w:val="99"/>
    <w:rPr>
      <w:rFonts w:ascii="Times New Roman" w:hAnsi="Times New Roman" w:eastAsia="宋体" w:cs="Times New Roman"/>
      <w:kern w:val="0"/>
      <w:sz w:val="18"/>
      <w:szCs w:val="20"/>
    </w:rPr>
  </w:style>
  <w:style w:type="character" w:customStyle="1" w:styleId="39">
    <w:name w:val="标题 1 Char"/>
    <w:link w:val="9"/>
    <w:qFormat/>
    <w:uiPriority w:val="0"/>
    <w:rPr>
      <w:rFonts w:ascii="宋体" w:hAnsi="宋体"/>
      <w:b/>
      <w:kern w:val="44"/>
      <w:sz w:val="28"/>
    </w:rPr>
  </w:style>
  <w:style w:type="character" w:customStyle="1" w:styleId="40">
    <w:name w:val="标题 2 Char"/>
    <w:link w:val="10"/>
    <w:qFormat/>
    <w:uiPriority w:val="0"/>
    <w:rPr>
      <w:rFonts w:ascii="宋体" w:hAnsi="Arial"/>
      <w:b/>
      <w:kern w:val="44"/>
      <w:sz w:val="24"/>
    </w:rPr>
  </w:style>
  <w:style w:type="character" w:customStyle="1" w:styleId="41">
    <w:name w:val="标题 3 Char"/>
    <w:link w:val="11"/>
    <w:qFormat/>
    <w:uiPriority w:val="0"/>
    <w:rPr>
      <w:rFonts w:ascii="宋体"/>
      <w:sz w:val="21"/>
    </w:rPr>
  </w:style>
  <w:style w:type="character" w:customStyle="1" w:styleId="42">
    <w:name w:val="正文缩进 Char"/>
    <w:link w:val="12"/>
    <w:qFormat/>
    <w:uiPriority w:val="0"/>
    <w:rPr>
      <w:rFonts w:ascii="宋体" w:eastAsia="宋体"/>
    </w:rPr>
  </w:style>
  <w:style w:type="character" w:customStyle="1" w:styleId="43">
    <w:name w:val="文档结构图 Char"/>
    <w:link w:val="13"/>
    <w:semiHidden/>
    <w:qFormat/>
    <w:uiPriority w:val="99"/>
    <w:rPr>
      <w:rFonts w:ascii="宋体" w:hAnsi="Times New Roman"/>
      <w:kern w:val="2"/>
      <w:sz w:val="18"/>
      <w:szCs w:val="18"/>
    </w:rPr>
  </w:style>
  <w:style w:type="character" w:customStyle="1" w:styleId="44">
    <w:name w:val="批注文字 Char"/>
    <w:link w:val="14"/>
    <w:semiHidden/>
    <w:qFormat/>
    <w:uiPriority w:val="99"/>
    <w:rPr>
      <w:rFonts w:ascii="Times New Roman" w:hAnsi="Times New Roman"/>
      <w:kern w:val="2"/>
      <w:sz w:val="21"/>
    </w:rPr>
  </w:style>
  <w:style w:type="character" w:customStyle="1" w:styleId="45">
    <w:name w:val="纯文本 Char"/>
    <w:link w:val="18"/>
    <w:qFormat/>
    <w:uiPriority w:val="0"/>
    <w:rPr>
      <w:rFonts w:ascii="宋体" w:hAnsi="Courier New" w:eastAsia="宋体" w:cs="Times New Roman"/>
      <w:szCs w:val="20"/>
    </w:rPr>
  </w:style>
  <w:style w:type="character" w:customStyle="1" w:styleId="46">
    <w:name w:val="尾注文本 Char"/>
    <w:link w:val="19"/>
    <w:semiHidden/>
    <w:qFormat/>
    <w:uiPriority w:val="99"/>
    <w:rPr>
      <w:rFonts w:ascii="Times New Roman" w:hAnsi="Times New Roman"/>
      <w:kern w:val="2"/>
      <w:sz w:val="21"/>
    </w:rPr>
  </w:style>
  <w:style w:type="character" w:customStyle="1" w:styleId="47">
    <w:name w:val="批注框文本 Char"/>
    <w:link w:val="20"/>
    <w:semiHidden/>
    <w:qFormat/>
    <w:uiPriority w:val="99"/>
    <w:rPr>
      <w:rFonts w:ascii="Times New Roman" w:hAnsi="Times New Roman"/>
      <w:kern w:val="2"/>
      <w:sz w:val="18"/>
      <w:szCs w:val="18"/>
    </w:rPr>
  </w:style>
  <w:style w:type="character" w:customStyle="1" w:styleId="48">
    <w:name w:val="页眉 Char"/>
    <w:link w:val="21"/>
    <w:qFormat/>
    <w:uiPriority w:val="99"/>
    <w:rPr>
      <w:rFonts w:ascii="Times New Roman" w:hAnsi="Times New Roman" w:eastAsia="宋体" w:cs="Times New Roman"/>
      <w:kern w:val="0"/>
      <w:sz w:val="18"/>
      <w:szCs w:val="20"/>
    </w:rPr>
  </w:style>
  <w:style w:type="character" w:customStyle="1" w:styleId="49">
    <w:name w:val="正文文本缩进 3 Char"/>
    <w:link w:val="23"/>
    <w:semiHidden/>
    <w:qFormat/>
    <w:uiPriority w:val="99"/>
    <w:rPr>
      <w:rFonts w:ascii="Times New Roman" w:hAnsi="Times New Roman"/>
      <w:kern w:val="2"/>
      <w:sz w:val="16"/>
      <w:szCs w:val="16"/>
    </w:rPr>
  </w:style>
  <w:style w:type="character" w:customStyle="1" w:styleId="50">
    <w:name w:val="HTML 预设格式 Char"/>
    <w:basedOn w:val="31"/>
    <w:link w:val="25"/>
    <w:semiHidden/>
    <w:qFormat/>
    <w:uiPriority w:val="99"/>
    <w:rPr>
      <w:rFonts w:ascii="宋体" w:hAnsi="宋体" w:eastAsia="宋体" w:cs="宋体"/>
      <w:sz w:val="24"/>
      <w:szCs w:val="24"/>
    </w:rPr>
  </w:style>
  <w:style w:type="character" w:customStyle="1" w:styleId="51">
    <w:name w:val="标题 Char"/>
    <w:link w:val="27"/>
    <w:qFormat/>
    <w:uiPriority w:val="10"/>
    <w:rPr>
      <w:rFonts w:ascii="Cambria" w:hAnsi="Cambria" w:eastAsia="黑体"/>
      <w:bCs/>
      <w:kern w:val="2"/>
      <w:sz w:val="44"/>
      <w:szCs w:val="32"/>
    </w:rPr>
  </w:style>
  <w:style w:type="character" w:customStyle="1" w:styleId="52">
    <w:name w:val="批注主题 Char"/>
    <w:link w:val="28"/>
    <w:semiHidden/>
    <w:qFormat/>
    <w:uiPriority w:val="99"/>
    <w:rPr>
      <w:rFonts w:ascii="Times New Roman" w:hAnsi="Times New Roman"/>
      <w:b/>
      <w:bCs/>
      <w:kern w:val="2"/>
      <w:sz w:val="21"/>
    </w:rPr>
  </w:style>
  <w:style w:type="paragraph" w:customStyle="1" w:styleId="53">
    <w:name w:val="楷体粗正文文字"/>
    <w:basedOn w:val="1"/>
    <w:next w:val="23"/>
    <w:qFormat/>
    <w:uiPriority w:val="0"/>
    <w:pPr>
      <w:snapToGrid w:val="0"/>
      <w:spacing w:line="480" w:lineRule="exact"/>
      <w:ind w:firstLine="560"/>
    </w:pPr>
    <w:rPr>
      <w:sz w:val="28"/>
      <w:szCs w:val="24"/>
    </w:rPr>
  </w:style>
  <w:style w:type="paragraph" w:customStyle="1" w:styleId="54">
    <w:name w:val="_Style 53"/>
    <w:semiHidden/>
    <w:qFormat/>
    <w:uiPriority w:val="99"/>
    <w:rPr>
      <w:rFonts w:ascii="Times New Roman" w:hAnsi="Times New Roman" w:eastAsia="宋体" w:cs="Times New Roman"/>
      <w:kern w:val="2"/>
      <w:sz w:val="21"/>
      <w:lang w:val="en-US" w:eastAsia="zh-CN" w:bidi="ar-SA"/>
    </w:rPr>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6">
    <w:name w:val="List Paragraph"/>
    <w:basedOn w:val="1"/>
    <w:qFormat/>
    <w:uiPriority w:val="34"/>
    <w:pPr>
      <w:ind w:firstLine="420" w:firstLineChars="200"/>
    </w:pPr>
    <w:rPr>
      <w:rFonts w:ascii="Calibri" w:hAnsi="Calibri"/>
      <w:szCs w:val="22"/>
    </w:rPr>
  </w:style>
  <w:style w:type="paragraph" w:customStyle="1" w:styleId="57">
    <w:name w:val="p0"/>
    <w:basedOn w:val="1"/>
    <w:qFormat/>
    <w:uiPriority w:val="0"/>
    <w:pPr>
      <w:widowControl/>
    </w:pPr>
    <w:rPr>
      <w:kern w:val="0"/>
      <w:szCs w:val="21"/>
    </w:rPr>
  </w:style>
  <w:style w:type="character" w:customStyle="1" w:styleId="58">
    <w:name w:val="font11"/>
    <w:basedOn w:val="31"/>
    <w:qFormat/>
    <w:uiPriority w:val="0"/>
    <w:rPr>
      <w:rFonts w:hint="default" w:ascii="仿宋_GB2312" w:eastAsia="仿宋_GB2312" w:cs="仿宋_GB2312"/>
      <w:color w:val="000000"/>
      <w:sz w:val="28"/>
      <w:szCs w:val="28"/>
      <w:u w:val="none"/>
    </w:rPr>
  </w:style>
  <w:style w:type="character" w:customStyle="1" w:styleId="59">
    <w:name w:val="font21"/>
    <w:basedOn w:val="3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31</Pages>
  <Words>3766</Words>
  <Characters>21468</Characters>
  <Lines>178</Lines>
  <Paragraphs>50</Paragraphs>
  <TotalTime>462</TotalTime>
  <ScaleCrop>false</ScaleCrop>
  <LinksUpToDate>false</LinksUpToDate>
  <CharactersWithSpaces>25184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2021-03-24T08:41:00Z</dcterms:created>
  <dc:creator>Sky123.Org</dc:creator>
  <cp:lastModifiedBy>TFB</cp:lastModifiedBy>
  <cp:lastPrinted>2021-03-25T01:59:00Z</cp:lastPrinted>
  <dcterms:modified xsi:type="dcterms:W3CDTF">2024-08-15T02:20:08Z</dcterms:modified>
  <dc:title>南充市商业银行股份有限公司</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B85D62A978604AD38394A2C99F6700B7</vt:lpwstr>
  </property>
</Properties>
</file>