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DEF80">
      <w:pPr>
        <w:widowControl/>
        <w:spacing w:before="156" w:beforeLines="50" w:after="156" w:afterLines="50" w:line="340" w:lineRule="exact"/>
        <w:jc w:val="center"/>
        <w:rPr>
          <w:rFonts w:cs="宋体" w:asciiTheme="minorEastAsia" w:hAnsiTheme="minorEastAsia" w:eastAsiaTheme="minorEastAsia"/>
          <w:b/>
          <w:color w:val="2F2F2F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color w:val="2F2F2F"/>
          <w:kern w:val="0"/>
          <w:sz w:val="24"/>
        </w:rPr>
        <w:t>熊猫理财功夫系列</w:t>
      </w:r>
      <w:r>
        <w:rPr>
          <w:rFonts w:cs="宋体" w:asciiTheme="minorEastAsia" w:hAnsiTheme="minorEastAsia" w:eastAsiaTheme="minorEastAsia"/>
          <w:b/>
          <w:color w:val="2F2F2F"/>
          <w:kern w:val="0"/>
          <w:sz w:val="24"/>
        </w:rPr>
        <w:t>28</w:t>
      </w:r>
      <w:r>
        <w:rPr>
          <w:rFonts w:hint="eastAsia" w:cs="宋体" w:asciiTheme="minorEastAsia" w:hAnsiTheme="minorEastAsia" w:eastAsiaTheme="minorEastAsia"/>
          <w:b/>
          <w:color w:val="2F2F2F"/>
          <w:kern w:val="0"/>
          <w:sz w:val="24"/>
        </w:rPr>
        <w:t>天</w:t>
      </w:r>
      <w:r>
        <w:rPr>
          <w:rFonts w:cs="宋体" w:asciiTheme="minorEastAsia" w:hAnsiTheme="minorEastAsia" w:eastAsiaTheme="minorEastAsia"/>
          <w:b/>
          <w:color w:val="2F2F2F"/>
          <w:kern w:val="0"/>
          <w:sz w:val="24"/>
        </w:rPr>
        <w:t>定开0</w:t>
      </w:r>
      <w:r>
        <w:rPr>
          <w:rFonts w:hint="eastAsia" w:cs="宋体" w:asciiTheme="minorEastAsia" w:hAnsiTheme="minorEastAsia" w:eastAsiaTheme="minorEastAsia"/>
          <w:b/>
          <w:color w:val="2F2F2F"/>
          <w:kern w:val="0"/>
          <w:sz w:val="24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b/>
          <w:color w:val="2F2F2F"/>
          <w:kern w:val="0"/>
          <w:sz w:val="24"/>
        </w:rPr>
        <w:t>期净值型</w:t>
      </w:r>
    </w:p>
    <w:p w14:paraId="7A25F2D6">
      <w:pPr>
        <w:widowControl/>
        <w:spacing w:before="156" w:beforeLines="50" w:after="156" w:afterLines="50" w:line="340" w:lineRule="exact"/>
        <w:jc w:val="center"/>
        <w:rPr>
          <w:rFonts w:cs="宋体" w:asciiTheme="minorEastAsia" w:hAnsiTheme="minorEastAsia" w:eastAsiaTheme="minorEastAsia"/>
          <w:b/>
          <w:color w:val="2F2F2F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color w:val="2F2F2F"/>
          <w:kern w:val="0"/>
          <w:sz w:val="24"/>
        </w:rPr>
        <w:t>理财产品（</w:t>
      </w:r>
      <w:r>
        <w:rPr>
          <w:rFonts w:cs="宋体" w:asciiTheme="minorEastAsia" w:hAnsiTheme="minorEastAsia" w:eastAsiaTheme="minorEastAsia"/>
          <w:b/>
          <w:color w:val="2F2F2F"/>
          <w:kern w:val="0"/>
          <w:sz w:val="24"/>
        </w:rPr>
        <w:t>GF28D0</w:t>
      </w:r>
      <w:r>
        <w:rPr>
          <w:rFonts w:hint="eastAsia" w:cs="宋体" w:asciiTheme="minorEastAsia" w:hAnsiTheme="minorEastAsia" w:eastAsiaTheme="minorEastAsia"/>
          <w:b/>
          <w:color w:val="2F2F2F"/>
          <w:kern w:val="0"/>
          <w:sz w:val="24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b/>
          <w:color w:val="2F2F2F"/>
          <w:kern w:val="0"/>
          <w:sz w:val="24"/>
        </w:rPr>
        <w:t>）开放日通告</w:t>
      </w:r>
    </w:p>
    <w:p w14:paraId="29609BCF">
      <w:pPr>
        <w:tabs>
          <w:tab w:val="center" w:pos="4590"/>
        </w:tabs>
        <w:adjustRightInd w:val="0"/>
        <w:snapToGrid w:val="0"/>
        <w:spacing w:before="156" w:beforeLines="50" w:after="156" w:afterLines="50" w:line="340" w:lineRule="exact"/>
        <w:contextualSpacing/>
        <w:jc w:val="center"/>
        <w:rPr>
          <w:rFonts w:asciiTheme="minorEastAsia" w:hAnsiTheme="minorEastAsia" w:eastAsiaTheme="minorEastAsia"/>
          <w:b/>
          <w:color w:val="000000"/>
          <w:kern w:val="0"/>
          <w:sz w:val="24"/>
        </w:rPr>
      </w:pPr>
    </w:p>
    <w:p w14:paraId="4BA6EA66">
      <w:pPr>
        <w:widowControl/>
        <w:spacing w:before="156" w:beforeLines="50" w:after="156" w:afterLines="50" w:line="340" w:lineRule="exact"/>
        <w:jc w:val="left"/>
        <w:rPr>
          <w:rFonts w:cs="Arial" w:asciiTheme="minorEastAsia" w:hAnsiTheme="minorEastAsia" w:eastAsiaTheme="minorEastAsia"/>
          <w:kern w:val="0"/>
          <w:sz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</w:rPr>
        <w:t>尊敬的客户：</w:t>
      </w:r>
    </w:p>
    <w:p w14:paraId="635A6769">
      <w:pPr>
        <w:widowControl/>
        <w:spacing w:before="156" w:beforeLines="50" w:after="156" w:afterLines="50" w:line="340" w:lineRule="exact"/>
        <w:ind w:firstLine="420"/>
        <w:jc w:val="left"/>
        <w:rPr>
          <w:rFonts w:cs="Arial" w:asciiTheme="minorEastAsia" w:hAnsiTheme="minorEastAsia" w:eastAsiaTheme="minorEastAsia"/>
          <w:kern w:val="0"/>
          <w:sz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</w:rPr>
        <w:t>我行熊猫理财功夫系列</w:t>
      </w:r>
      <w:r>
        <w:rPr>
          <w:rFonts w:cs="Arial" w:asciiTheme="minorEastAsia" w:hAnsiTheme="minorEastAsia" w:eastAsiaTheme="minorEastAsia"/>
          <w:kern w:val="0"/>
          <w:sz w:val="24"/>
        </w:rPr>
        <w:t>28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天</w:t>
      </w:r>
      <w:r>
        <w:rPr>
          <w:rFonts w:cs="Arial" w:asciiTheme="minorEastAsia" w:hAnsiTheme="minorEastAsia" w:eastAsiaTheme="minorEastAsia"/>
          <w:kern w:val="0"/>
          <w:sz w:val="24"/>
        </w:rPr>
        <w:t>定开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03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期净值型理财产品于202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年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月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3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日开放，最近开放期为202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年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8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月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27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日至202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年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月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2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日。该产品截止202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5</w:t>
      </w:r>
      <w:r>
        <w:rPr>
          <w:rFonts w:cs="Arial" w:asciiTheme="minorEastAsia" w:hAnsiTheme="minorEastAsia" w:eastAsiaTheme="minorEastAsia"/>
          <w:kern w:val="0"/>
          <w:sz w:val="24"/>
        </w:rPr>
        <w:t>年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月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2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日份额净值为1.162406，累计份额</w:t>
      </w:r>
      <w:r>
        <w:rPr>
          <w:rFonts w:cs="Arial" w:asciiTheme="minorEastAsia" w:hAnsiTheme="minorEastAsia" w:eastAsiaTheme="minorEastAsia"/>
          <w:kern w:val="0"/>
          <w:sz w:val="24"/>
        </w:rPr>
        <w:t>净值为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1.162406，申购/赎回价格为1.162406。该产品下一个开放期</w:t>
      </w:r>
      <w:r>
        <w:rPr>
          <w:rFonts w:cs="Arial" w:asciiTheme="minorEastAsia" w:hAnsiTheme="minorEastAsia" w:eastAsiaTheme="minorEastAsia"/>
          <w:kern w:val="0"/>
          <w:sz w:val="24"/>
        </w:rPr>
        <w:t>为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202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年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月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24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日至202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年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10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月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日,下一个开放日为</w:t>
      </w:r>
      <w:r>
        <w:rPr>
          <w:rFonts w:cs="Arial" w:asciiTheme="minorEastAsia" w:hAnsiTheme="minorEastAsia" w:eastAsiaTheme="minorEastAsia"/>
          <w:kern w:val="0"/>
          <w:sz w:val="24"/>
        </w:rPr>
        <w:t>202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年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10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月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10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日，本投资周期为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37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天。目前产品运营正常。该产品为净值型产品，业绩比较基准</w:t>
      </w:r>
      <w:r>
        <w:rPr>
          <w:rFonts w:cs="Arial" w:asciiTheme="minorEastAsia" w:hAnsiTheme="minorEastAsia" w:eastAsiaTheme="minorEastAsia"/>
          <w:kern w:val="0"/>
          <w:sz w:val="24"/>
        </w:rPr>
        <w:t>2.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0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0%</w:t>
      </w:r>
      <w:r>
        <w:rPr>
          <w:rFonts w:cs="Arial" w:asciiTheme="minorEastAsia" w:hAnsiTheme="minorEastAsia" w:eastAsiaTheme="minorEastAsia"/>
          <w:kern w:val="0"/>
          <w:sz w:val="24"/>
        </w:rPr>
        <w:t>-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2</w:t>
      </w:r>
      <w:r>
        <w:rPr>
          <w:rFonts w:cs="Arial" w:asciiTheme="minorEastAsia" w:hAnsiTheme="minorEastAsia" w:eastAsiaTheme="minorEastAsia"/>
          <w:kern w:val="0"/>
          <w:sz w:val="24"/>
        </w:rPr>
        <w:t>.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3</w:t>
      </w:r>
      <w:r>
        <w:rPr>
          <w:rFonts w:cs="Arial" w:asciiTheme="minorEastAsia" w:hAnsiTheme="minorEastAsia" w:eastAsiaTheme="minorEastAsia"/>
          <w:kern w:val="0"/>
          <w:sz w:val="24"/>
        </w:rPr>
        <w:t>0%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，实际盈亏视产品净值波动情况而定，欢迎咨询及购买。</w:t>
      </w:r>
    </w:p>
    <w:p w14:paraId="496B7321">
      <w:pPr>
        <w:widowControl/>
        <w:spacing w:before="156" w:beforeLines="50" w:after="156" w:afterLines="50" w:line="340" w:lineRule="exact"/>
        <w:ind w:firstLine="420"/>
        <w:jc w:val="left"/>
        <w:rPr>
          <w:rFonts w:cs="Arial" w:asciiTheme="minorEastAsia" w:hAnsiTheme="minorEastAsia" w:eastAsiaTheme="minorEastAsia"/>
          <w:kern w:val="0"/>
          <w:sz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</w:rPr>
        <w:t>特此通告。</w:t>
      </w:r>
    </w:p>
    <w:p w14:paraId="7B254AC6">
      <w:pPr>
        <w:widowControl/>
        <w:spacing w:before="156" w:beforeLines="50" w:after="156" w:afterLines="50" w:line="340" w:lineRule="exact"/>
        <w:ind w:firstLine="420"/>
        <w:jc w:val="left"/>
        <w:rPr>
          <w:rFonts w:cs="Arial" w:asciiTheme="minorEastAsia" w:hAnsiTheme="minorEastAsia" w:eastAsiaTheme="minorEastAsia"/>
          <w:kern w:val="0"/>
          <w:sz w:val="24"/>
        </w:rPr>
      </w:pPr>
    </w:p>
    <w:p w14:paraId="0C91EAE3">
      <w:pPr>
        <w:spacing w:before="156" w:beforeLines="50" w:after="156" w:afterLines="50" w:line="34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四川天府银行股份</w:t>
      </w:r>
      <w:r>
        <w:rPr>
          <w:rFonts w:asciiTheme="minorEastAsia" w:hAnsiTheme="minorEastAsia" w:eastAsiaTheme="minorEastAsia"/>
          <w:sz w:val="24"/>
        </w:rPr>
        <w:t>有限公司</w:t>
      </w:r>
    </w:p>
    <w:p w14:paraId="625B8C50">
      <w:pPr>
        <w:widowControl/>
        <w:spacing w:before="156" w:beforeLines="50" w:after="156" w:afterLines="50" w:line="340" w:lineRule="exact"/>
        <w:ind w:firstLine="420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日</w:t>
      </w:r>
    </w:p>
    <w:p w14:paraId="2D411D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E5076"/>
    <w:rsid w:val="21BA77BE"/>
    <w:rsid w:val="2BD96B5D"/>
    <w:rsid w:val="2DED5187"/>
    <w:rsid w:val="30D50E44"/>
    <w:rsid w:val="315474B8"/>
    <w:rsid w:val="3BEB6EE3"/>
    <w:rsid w:val="43E130DC"/>
    <w:rsid w:val="47B5450B"/>
    <w:rsid w:val="493C2504"/>
    <w:rsid w:val="4CF95355"/>
    <w:rsid w:val="54606ACD"/>
    <w:rsid w:val="5DB9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2025-07-21T02:23:00Z</dcterms:created>
  <dc:creator>Administrator</dc:creator>
  <cp:lastModifiedBy>Administrator</cp:lastModifiedBy>
  <dcterms:modified xsi:type="dcterms:W3CDTF">2025-09-03T02:44:25Z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8A4AB0BC616F47ECBD5FB4A57252C56B_12</vt:lpwstr>
  </property>
</Properties>
</file>