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EF80">
      <w:pPr>
        <w:widowControl/>
        <w:spacing w:before="156" w:beforeLines="50" w:after="156" w:afterLines="50" w:line="340" w:lineRule="exact"/>
        <w:jc w:val="center"/>
        <w:rPr>
          <w:rFonts w:cs="宋体" w:asciiTheme="minorEastAsia" w:hAnsiTheme="minorEastAsia" w:eastAsiaTheme="minorEastAsia"/>
          <w:b/>
          <w:color w:val="2F2F2F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熊猫理财功夫系列</w:t>
      </w:r>
      <w:r>
        <w:rPr>
          <w:rFonts w:cs="宋体" w:asciiTheme="minorEastAsia" w:hAnsiTheme="minorEastAsia" w:eastAsiaTheme="minorEastAsia"/>
          <w:b/>
          <w:color w:val="2F2F2F"/>
          <w:kern w:val="0"/>
          <w:sz w:val="24"/>
        </w:rPr>
        <w:t>28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天</w:t>
      </w:r>
      <w:r>
        <w:rPr>
          <w:rFonts w:cs="宋体" w:asciiTheme="minorEastAsia" w:hAnsiTheme="minorEastAsia" w:eastAsiaTheme="minorEastAsia"/>
          <w:b/>
          <w:color w:val="2F2F2F"/>
          <w:kern w:val="0"/>
          <w:sz w:val="24"/>
        </w:rPr>
        <w:t>定开0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期净值型</w:t>
      </w:r>
    </w:p>
    <w:p w14:paraId="7A25F2D6">
      <w:pPr>
        <w:widowControl/>
        <w:spacing w:before="156" w:beforeLines="50" w:after="156" w:afterLines="50" w:line="340" w:lineRule="exact"/>
        <w:jc w:val="center"/>
        <w:rPr>
          <w:rFonts w:cs="宋体" w:asciiTheme="minorEastAsia" w:hAnsiTheme="minorEastAsia" w:eastAsiaTheme="minorEastAsia"/>
          <w:b/>
          <w:color w:val="2F2F2F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理财产品（</w:t>
      </w:r>
      <w:r>
        <w:rPr>
          <w:rFonts w:cs="宋体" w:asciiTheme="minorEastAsia" w:hAnsiTheme="minorEastAsia" w:eastAsiaTheme="minorEastAsia"/>
          <w:b/>
          <w:color w:val="2F2F2F"/>
          <w:kern w:val="0"/>
          <w:sz w:val="24"/>
        </w:rPr>
        <w:t>GF28D0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color w:val="2F2F2F"/>
          <w:kern w:val="0"/>
          <w:sz w:val="24"/>
        </w:rPr>
        <w:t>）开放日通告</w:t>
      </w:r>
    </w:p>
    <w:p w14:paraId="29609BCF">
      <w:pPr>
        <w:tabs>
          <w:tab w:val="center" w:pos="4590"/>
        </w:tabs>
        <w:adjustRightInd w:val="0"/>
        <w:snapToGrid w:val="0"/>
        <w:spacing w:before="156" w:beforeLines="50" w:after="156" w:afterLines="50" w:line="340" w:lineRule="exact"/>
        <w:contextualSpacing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</w:p>
    <w:p w14:paraId="4BA6EA66">
      <w:pPr>
        <w:widowControl/>
        <w:spacing w:before="156" w:beforeLines="50" w:after="156" w:afterLines="50" w:line="340" w:lineRule="exact"/>
        <w:jc w:val="left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尊敬的客户：</w:t>
      </w:r>
    </w:p>
    <w:p w14:paraId="635A6769">
      <w:pPr>
        <w:widowControl/>
        <w:spacing w:before="156" w:beforeLines="50" w:after="156" w:afterLines="50" w:line="340" w:lineRule="exact"/>
        <w:ind w:firstLine="420"/>
        <w:jc w:val="left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我行熊猫理财功夫系列</w:t>
      </w:r>
      <w:r>
        <w:rPr>
          <w:rFonts w:cs="Arial" w:asciiTheme="minorEastAsia" w:hAnsiTheme="minorEastAsia" w:eastAsiaTheme="minorEastAsia"/>
          <w:kern w:val="0"/>
          <w:sz w:val="24"/>
        </w:rPr>
        <w:t>28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天</w:t>
      </w:r>
      <w:r>
        <w:rPr>
          <w:rFonts w:cs="Arial" w:asciiTheme="minorEastAsia" w:hAnsiTheme="minorEastAsia" w:eastAsiaTheme="minorEastAsia"/>
          <w:kern w:val="0"/>
          <w:sz w:val="24"/>
        </w:rPr>
        <w:t>定开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02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期净值型理财产品于202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27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日开放，最近开放期为202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日至202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26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日。该产品截止202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26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日份额净值为1.163299，累计份额</w:t>
      </w:r>
      <w:r>
        <w:rPr>
          <w:rFonts w:cs="Arial" w:asciiTheme="minorEastAsia" w:hAnsiTheme="minorEastAsia" w:eastAsiaTheme="minorEastAsia"/>
          <w:kern w:val="0"/>
          <w:sz w:val="24"/>
        </w:rPr>
        <w:t>净值为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1.163299，申购/赎回价格为1.163299。该产品下一个开放期</w:t>
      </w:r>
      <w:r>
        <w:rPr>
          <w:rFonts w:cs="Arial" w:asciiTheme="minorEastAsia" w:hAnsiTheme="minorEastAsia" w:eastAsiaTheme="minorEastAsia"/>
          <w:kern w:val="0"/>
          <w:sz w:val="24"/>
        </w:rPr>
        <w:t>为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17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日至202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23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日,下一个开放日为</w:t>
      </w:r>
      <w:r>
        <w:rPr>
          <w:rFonts w:cs="Arial" w:asciiTheme="minorEastAsia" w:hAnsiTheme="minorEastAsia" w:eastAsiaTheme="minorEastAsia"/>
          <w:kern w:val="0"/>
          <w:sz w:val="24"/>
        </w:rPr>
        <w:t>202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24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日，本投资周期为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28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天。目前产品运营正常。该产品为净值型产品，业绩比较基准</w:t>
      </w:r>
      <w:r>
        <w:rPr>
          <w:rFonts w:cs="Arial" w:asciiTheme="minorEastAsia" w:hAnsiTheme="minorEastAsia" w:eastAsiaTheme="minorEastAsia"/>
          <w:kern w:val="0"/>
          <w:sz w:val="24"/>
        </w:rPr>
        <w:t>2.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0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0%</w:t>
      </w:r>
      <w:r>
        <w:rPr>
          <w:rFonts w:cs="Arial" w:asciiTheme="minorEastAsia" w:hAnsiTheme="minorEastAsia" w:eastAsiaTheme="minorEastAsia"/>
          <w:kern w:val="0"/>
          <w:sz w:val="24"/>
        </w:rPr>
        <w:t>-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cs="Arial" w:asciiTheme="minorEastAsia" w:hAnsiTheme="minorEastAsia" w:eastAsiaTheme="minorEastAsia"/>
          <w:kern w:val="0"/>
          <w:sz w:val="24"/>
        </w:rPr>
        <w:t>.</w:t>
      </w:r>
      <w:r>
        <w:rPr>
          <w:rFonts w:hint="eastAsia" w:cs="Arial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cs="Arial" w:asciiTheme="minorEastAsia" w:hAnsiTheme="minorEastAsia" w:eastAsiaTheme="minorEastAsia"/>
          <w:kern w:val="0"/>
          <w:sz w:val="24"/>
        </w:rPr>
        <w:t>0%</w:t>
      </w:r>
      <w:r>
        <w:rPr>
          <w:rFonts w:hint="eastAsia" w:cs="Arial" w:asciiTheme="minorEastAsia" w:hAnsiTheme="minorEastAsia" w:eastAsiaTheme="minorEastAsia"/>
          <w:kern w:val="0"/>
          <w:sz w:val="24"/>
        </w:rPr>
        <w:t>，实际盈亏视产品净值波动情况而定，欢迎咨询及购买。</w:t>
      </w:r>
    </w:p>
    <w:p w14:paraId="496B7321">
      <w:pPr>
        <w:widowControl/>
        <w:spacing w:before="156" w:beforeLines="50" w:after="156" w:afterLines="50" w:line="340" w:lineRule="exact"/>
        <w:ind w:firstLine="420"/>
        <w:jc w:val="left"/>
        <w:rPr>
          <w:rFonts w:cs="Arial" w:asciiTheme="minorEastAsia" w:hAnsiTheme="minorEastAsia" w:eastAsiaTheme="minorEastAsia"/>
          <w:kern w:val="0"/>
          <w:sz w:val="24"/>
        </w:rPr>
      </w:pPr>
      <w:r>
        <w:rPr>
          <w:rFonts w:hint="eastAsia" w:cs="Arial" w:asciiTheme="minorEastAsia" w:hAnsiTheme="minorEastAsia" w:eastAsiaTheme="minorEastAsia"/>
          <w:kern w:val="0"/>
          <w:sz w:val="24"/>
        </w:rPr>
        <w:t>特此通告。</w:t>
      </w:r>
    </w:p>
    <w:p w14:paraId="7B254AC6">
      <w:pPr>
        <w:widowControl/>
        <w:spacing w:before="156" w:beforeLines="50" w:after="156" w:afterLines="50" w:line="340" w:lineRule="exact"/>
        <w:ind w:firstLine="420"/>
        <w:jc w:val="left"/>
        <w:rPr>
          <w:rFonts w:cs="Arial" w:asciiTheme="minorEastAsia" w:hAnsiTheme="minorEastAsia" w:eastAsiaTheme="minorEastAsia"/>
          <w:kern w:val="0"/>
          <w:sz w:val="24"/>
        </w:rPr>
      </w:pPr>
    </w:p>
    <w:p w14:paraId="0C91EAE3">
      <w:pPr>
        <w:spacing w:before="156" w:beforeLines="50" w:after="156" w:afterLines="50" w:line="3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四川天府银行股份</w:t>
      </w:r>
      <w:r>
        <w:rPr>
          <w:rFonts w:asciiTheme="minorEastAsia" w:hAnsiTheme="minorEastAsia" w:eastAsiaTheme="minorEastAsia"/>
          <w:sz w:val="24"/>
        </w:rPr>
        <w:t>有限公司</w:t>
      </w:r>
    </w:p>
    <w:p w14:paraId="625B8C50">
      <w:pPr>
        <w:widowControl/>
        <w:spacing w:before="156" w:beforeLines="50" w:after="156" w:afterLines="50" w:line="340" w:lineRule="exact"/>
        <w:ind w:firstLine="42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2D411D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E5076"/>
    <w:rsid w:val="21BA77BE"/>
    <w:rsid w:val="2BD96B5D"/>
    <w:rsid w:val="2DED5187"/>
    <w:rsid w:val="30D50E44"/>
    <w:rsid w:val="3BEB6EE3"/>
    <w:rsid w:val="43E130DC"/>
    <w:rsid w:val="47B5450B"/>
    <w:rsid w:val="493C2504"/>
    <w:rsid w:val="4CF95355"/>
    <w:rsid w:val="54606ACD"/>
    <w:rsid w:val="5DB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2025-07-21T02:23:00Z</dcterms:created>
  <dc:creator>Administrator</dc:creator>
  <cp:lastModifiedBy>Administrator</cp:lastModifiedBy>
  <dcterms:modified xsi:type="dcterms:W3CDTF">2025-08-27T02:14:57Z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8A4AB0BC616F47ECBD5FB4A57252C56B_12</vt:lpwstr>
  </property>
</Properties>
</file>