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92E8">
      <w:pPr>
        <w:spacing w:line="700" w:lineRule="exact"/>
        <w:ind w:left="203" w:right="-50" w:rightChars="-24" w:hanging="206" w:hangingChars="47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调整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黄金积存业务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起购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金额的公告</w:t>
      </w:r>
    </w:p>
    <w:p w14:paraId="0E7BEE41">
      <w:pPr>
        <w:spacing w:line="700" w:lineRule="exact"/>
        <w:ind w:left="203" w:right="-50" w:rightChars="-24" w:hanging="206" w:hangingChars="47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1DCF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根据中国人民银行《黄金积存业务管理暂行办法》(银办发〔2018]222号)相关规定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，为顺应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市场变化，我行将对黄金积存业务调整如下:</w:t>
      </w:r>
    </w:p>
    <w:p w14:paraId="08759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1.即日</w:t>
      </w:r>
      <w:r>
        <w:rPr>
          <w:rFonts w:hint="eastAsia" w:ascii="方正仿宋_GBK" w:hAnsi="宋体" w:eastAsia="方正仿宋_GBK"/>
          <w:bCs/>
          <w:sz w:val="32"/>
          <w:szCs w:val="32"/>
        </w:rPr>
        <w:t>起，我行黄金积存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活期</w:t>
      </w:r>
      <w:r>
        <w:rPr>
          <w:rFonts w:hint="eastAsia" w:ascii="方正仿宋_GBK" w:hAnsi="宋体" w:eastAsia="方正仿宋_GBK"/>
          <w:bCs/>
          <w:sz w:val="32"/>
          <w:szCs w:val="32"/>
        </w:rPr>
        <w:t>业务积存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起购</w:t>
      </w:r>
      <w:r>
        <w:rPr>
          <w:rFonts w:hint="eastAsia" w:ascii="方正仿宋_GBK" w:hAnsi="宋体" w:eastAsia="方正仿宋_GBK"/>
          <w:bCs/>
          <w:sz w:val="32"/>
          <w:szCs w:val="32"/>
        </w:rPr>
        <w:t>金额</w:t>
      </w: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调整</w:t>
      </w:r>
      <w:r>
        <w:rPr>
          <w:rFonts w:hint="eastAsia" w:ascii="方正仿宋_GBK" w:hAnsi="宋体" w:eastAsia="方正仿宋_GBK"/>
          <w:bCs/>
          <w:sz w:val="32"/>
          <w:szCs w:val="32"/>
        </w:rPr>
        <w:t>至</w:t>
      </w: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10</w:t>
      </w:r>
      <w:r>
        <w:rPr>
          <w:rFonts w:hint="eastAsia" w:ascii="方正仿宋_GBK" w:hAnsi="宋体" w:eastAsia="方正仿宋_GBK"/>
          <w:bCs/>
          <w:sz w:val="32"/>
          <w:szCs w:val="32"/>
        </w:rPr>
        <w:t>00元。</w:t>
      </w:r>
    </w:p>
    <w:p w14:paraId="403A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按重量起购克数维持</w:t>
      </w: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1克不变。若购买金额不足1000元的，交易申请将无法成功提交。</w:t>
      </w:r>
    </w:p>
    <w:p w14:paraId="1EBD0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由于近期国内外黄金价格波动剧烈，市场风险存在持续提升的可能性。请您提高实物黄金产品购买、黄金积存等黄金业务的风险防范意识，合理控制持有份额，及时关注市场和黄金价格变化情况等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相关信息，黄金市场投资有风险，投资须谨慎。</w:t>
      </w:r>
    </w:p>
    <w:p w14:paraId="00A4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我行将持续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关注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黄金市场变动情况，适时对上述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起购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金额及限额进行调整，具体调整情况将通过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行官方网站等渠道另行发布。</w:t>
      </w:r>
    </w:p>
    <w:p w14:paraId="1EBF4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如您对本次业务调整有任何疑问，可通过我行96869客服热线进行咨询。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感谢您长期以来给予我行的大力支持！</w:t>
      </w:r>
    </w:p>
    <w:p w14:paraId="5133C175">
      <w:pPr>
        <w:ind w:right="-50" w:rightChars="-24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</w:p>
    <w:p w14:paraId="2A721B18">
      <w:pPr>
        <w:ind w:right="-50" w:rightChars="-24"/>
        <w:jc w:val="right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四川天府银行股份有限公司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33BB3"/>
    <w:rsid w:val="28E71BE7"/>
    <w:rsid w:val="31A833AC"/>
    <w:rsid w:val="458F78B8"/>
    <w:rsid w:val="6EB3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2024-03-28T02:55:00Z</dcterms:created>
  <dc:creator> </dc:creator>
  <cp:lastModifiedBy>TFB</cp:lastModifiedBy>
  <dcterms:modified xsi:type="dcterms:W3CDTF">2025-10-11T03:11:40Z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A221E0E16B91421BB2EC2C5DB422311B</vt:lpwstr>
  </property>
</Properties>
</file>