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360" w:lineRule="auto"/>
        <w:ind w:firstLine="1440"/>
        <w:jc w:val="center"/>
        <w:textAlignment w:val="auto"/>
        <w:rPr>
          <w:rFonts w:hint="eastAsia" w:ascii="仿宋_GB2312" w:eastAsia="仿宋_GB2312"/>
          <w:color w:val="auto"/>
          <w:sz w:val="72"/>
          <w:highlight w:val="none"/>
        </w:rPr>
      </w:pPr>
    </w:p>
    <w:p>
      <w:pPr>
        <w:keepNext w:val="0"/>
        <w:keepLines w:val="0"/>
        <w:pageBreakBefore w:val="0"/>
        <w:widowControl w:val="0"/>
        <w:kinsoku/>
        <w:overflowPunct/>
        <w:topLinePunct w:val="0"/>
        <w:bidi w:val="0"/>
        <w:spacing w:line="360" w:lineRule="auto"/>
        <w:ind w:firstLine="1440"/>
        <w:jc w:val="center"/>
        <w:textAlignment w:val="auto"/>
        <w:rPr>
          <w:rFonts w:hint="eastAsia" w:ascii="仿宋_GB2312" w:eastAsia="仿宋_GB2312"/>
          <w:color w:val="auto"/>
          <w:sz w:val="72"/>
          <w:highlight w:val="none"/>
        </w:rPr>
      </w:pPr>
    </w:p>
    <w:p>
      <w:pPr>
        <w:keepNext w:val="0"/>
        <w:keepLines w:val="0"/>
        <w:pageBreakBefore w:val="0"/>
        <w:widowControl w:val="0"/>
        <w:kinsoku/>
        <w:overflowPunct/>
        <w:topLinePunct w:val="0"/>
        <w:bidi w:val="0"/>
        <w:spacing w:line="360" w:lineRule="auto"/>
        <w:ind w:firstLine="1440"/>
        <w:jc w:val="center"/>
        <w:textAlignment w:val="auto"/>
        <w:rPr>
          <w:rFonts w:hint="eastAsia" w:ascii="仿宋_GB2312" w:eastAsia="仿宋_GB2312"/>
          <w:color w:val="auto"/>
          <w:sz w:val="72"/>
          <w:highlight w:val="none"/>
        </w:rPr>
      </w:pPr>
    </w:p>
    <w:p>
      <w:pPr>
        <w:keepNext w:val="0"/>
        <w:keepLines w:val="0"/>
        <w:pageBreakBefore w:val="0"/>
        <w:widowControl w:val="0"/>
        <w:kinsoku/>
        <w:overflowPunct/>
        <w:topLinePunct w:val="0"/>
        <w:bidi w:val="0"/>
        <w:spacing w:line="360" w:lineRule="auto"/>
        <w:ind w:firstLine="1440"/>
        <w:jc w:val="center"/>
        <w:textAlignment w:val="auto"/>
        <w:rPr>
          <w:rFonts w:hint="eastAsia" w:ascii="仿宋_GB2312" w:eastAsia="仿宋_GB2312"/>
          <w:color w:val="auto"/>
          <w:sz w:val="72"/>
          <w:highlight w:val="none"/>
        </w:rPr>
      </w:pPr>
    </w:p>
    <w:p>
      <w:pPr>
        <w:keepNext w:val="0"/>
        <w:keepLines w:val="0"/>
        <w:pageBreakBefore w:val="0"/>
        <w:widowControl w:val="0"/>
        <w:kinsoku/>
        <w:overflowPunct/>
        <w:topLinePunct w:val="0"/>
        <w:bidi w:val="0"/>
        <w:jc w:val="center"/>
        <w:textAlignment w:val="auto"/>
        <w:rPr>
          <w:rFonts w:hint="eastAsia" w:ascii="黑体" w:hAnsi="Times New Roman" w:eastAsia="黑体"/>
          <w:b/>
          <w:color w:val="000000"/>
          <w:sz w:val="52"/>
          <w:szCs w:val="20"/>
          <w:u w:val="single"/>
        </w:rPr>
      </w:pPr>
      <w:r>
        <w:rPr>
          <w:rFonts w:hint="eastAsia" w:ascii="黑体" w:hAnsi="Times New Roman" w:eastAsia="黑体"/>
          <w:b/>
          <w:color w:val="000000"/>
          <w:sz w:val="52"/>
          <w:szCs w:val="20"/>
          <w:u w:val="single"/>
        </w:rPr>
        <w:t>四川天府银行股份有限公司</w:t>
      </w:r>
    </w:p>
    <w:p>
      <w:pPr>
        <w:keepNext w:val="0"/>
        <w:keepLines w:val="0"/>
        <w:pageBreakBefore w:val="0"/>
        <w:widowControl w:val="0"/>
        <w:kinsoku/>
        <w:overflowPunct/>
        <w:topLinePunct w:val="0"/>
        <w:bidi w:val="0"/>
        <w:jc w:val="center"/>
        <w:textAlignment w:val="auto"/>
        <w:rPr>
          <w:rFonts w:hint="eastAsia" w:ascii="黑体" w:hAnsi="Times New Roman" w:eastAsia="黑体"/>
          <w:b/>
          <w:color w:val="000000"/>
          <w:sz w:val="52"/>
          <w:szCs w:val="20"/>
          <w:u w:val="single"/>
        </w:rPr>
      </w:pPr>
      <w:r>
        <w:rPr>
          <w:rFonts w:hint="eastAsia" w:ascii="黑体" w:hAnsi="Times New Roman" w:eastAsia="黑体"/>
          <w:b/>
          <w:color w:val="000000"/>
          <w:sz w:val="52"/>
          <w:szCs w:val="20"/>
          <w:u w:val="single"/>
        </w:rPr>
        <w:t>舆情监测与</w:t>
      </w:r>
      <w:r>
        <w:rPr>
          <w:rFonts w:hint="eastAsia" w:ascii="黑体" w:eastAsia="黑体"/>
          <w:b/>
          <w:color w:val="000000"/>
          <w:sz w:val="52"/>
          <w:szCs w:val="20"/>
          <w:u w:val="single"/>
          <w:lang w:val="en-US" w:eastAsia="zh-CN"/>
        </w:rPr>
        <w:t>处置</w:t>
      </w:r>
      <w:r>
        <w:rPr>
          <w:rFonts w:hint="eastAsia" w:ascii="黑体" w:hAnsi="Times New Roman" w:eastAsia="黑体"/>
          <w:b/>
          <w:color w:val="000000"/>
          <w:sz w:val="52"/>
          <w:szCs w:val="20"/>
          <w:u w:val="single"/>
        </w:rPr>
        <w:t>服务</w:t>
      </w:r>
    </w:p>
    <w:p>
      <w:pPr>
        <w:keepNext w:val="0"/>
        <w:keepLines w:val="0"/>
        <w:pageBreakBefore w:val="0"/>
        <w:widowControl w:val="0"/>
        <w:kinsoku/>
        <w:overflowPunct/>
        <w:topLinePunct w:val="0"/>
        <w:bidi w:val="0"/>
        <w:jc w:val="center"/>
        <w:textAlignment w:val="auto"/>
        <w:rPr>
          <w:rFonts w:hint="eastAsia" w:eastAsia="黑体"/>
          <w:sz w:val="30"/>
          <w:szCs w:val="30"/>
          <w:lang w:val="en-US" w:eastAsia="zh-CN"/>
        </w:rPr>
      </w:pPr>
      <w:r>
        <w:rPr>
          <w:rFonts w:hint="eastAsia" w:ascii="黑体" w:hAnsi="Times New Roman" w:eastAsia="黑体"/>
          <w:b/>
          <w:color w:val="000000"/>
          <w:sz w:val="52"/>
          <w:szCs w:val="20"/>
        </w:rPr>
        <w:t>招标</w:t>
      </w:r>
      <w:r>
        <w:rPr>
          <w:rFonts w:hint="eastAsia" w:ascii="黑体" w:hAnsi="Times New Roman" w:eastAsia="黑体"/>
          <w:b/>
          <w:color w:val="000000"/>
          <w:sz w:val="52"/>
          <w:szCs w:val="20"/>
          <w:lang w:val="en-US" w:eastAsia="zh-CN"/>
        </w:rPr>
        <w:t>文件</w:t>
      </w:r>
    </w:p>
    <w:p>
      <w:pPr>
        <w:keepNext w:val="0"/>
        <w:keepLines w:val="0"/>
        <w:pageBreakBefore w:val="0"/>
        <w:widowControl w:val="0"/>
        <w:kinsoku/>
        <w:overflowPunct/>
        <w:topLinePunct w:val="0"/>
        <w:bidi w:val="0"/>
        <w:jc w:val="center"/>
        <w:textAlignment w:val="auto"/>
        <w:rPr>
          <w:rFonts w:hint="eastAsia"/>
          <w:sz w:val="30"/>
          <w:szCs w:val="30"/>
        </w:rPr>
      </w:pPr>
    </w:p>
    <w:p>
      <w:pPr>
        <w:keepNext w:val="0"/>
        <w:keepLines w:val="0"/>
        <w:pageBreakBefore w:val="0"/>
        <w:widowControl w:val="0"/>
        <w:kinsoku/>
        <w:overflowPunct/>
        <w:topLinePunct w:val="0"/>
        <w:bidi w:val="0"/>
        <w:jc w:val="center"/>
        <w:textAlignment w:val="auto"/>
        <w:rPr>
          <w:rFonts w:hint="eastAsia"/>
          <w:sz w:val="30"/>
          <w:szCs w:val="30"/>
        </w:rPr>
      </w:pPr>
    </w:p>
    <w:p>
      <w:pPr>
        <w:keepNext w:val="0"/>
        <w:keepLines w:val="0"/>
        <w:pageBreakBefore w:val="0"/>
        <w:widowControl w:val="0"/>
        <w:kinsoku/>
        <w:overflowPunct/>
        <w:topLinePunct w:val="0"/>
        <w:bidi w:val="0"/>
        <w:jc w:val="center"/>
        <w:textAlignment w:val="auto"/>
        <w:rPr>
          <w:rFonts w:hint="eastAsia"/>
          <w:sz w:val="30"/>
          <w:szCs w:val="30"/>
        </w:rPr>
      </w:pPr>
    </w:p>
    <w:p>
      <w:pPr>
        <w:keepNext w:val="0"/>
        <w:keepLines w:val="0"/>
        <w:pageBreakBefore w:val="0"/>
        <w:widowControl w:val="0"/>
        <w:kinsoku/>
        <w:overflowPunct/>
        <w:topLinePunct w:val="0"/>
        <w:bidi w:val="0"/>
        <w:jc w:val="center"/>
        <w:textAlignment w:val="auto"/>
        <w:rPr>
          <w:rFonts w:hint="eastAsia"/>
          <w:sz w:val="30"/>
          <w:szCs w:val="30"/>
        </w:rPr>
      </w:pPr>
    </w:p>
    <w:p>
      <w:pPr>
        <w:keepNext w:val="0"/>
        <w:keepLines w:val="0"/>
        <w:pageBreakBefore w:val="0"/>
        <w:widowControl w:val="0"/>
        <w:kinsoku/>
        <w:overflowPunct/>
        <w:topLinePunct w:val="0"/>
        <w:bidi w:val="0"/>
        <w:jc w:val="center"/>
        <w:textAlignment w:val="auto"/>
        <w:rPr>
          <w:rFonts w:hint="eastAsia"/>
          <w:sz w:val="30"/>
          <w:szCs w:val="30"/>
        </w:rPr>
      </w:pPr>
    </w:p>
    <w:p>
      <w:pPr>
        <w:keepNext w:val="0"/>
        <w:keepLines w:val="0"/>
        <w:pageBreakBefore w:val="0"/>
        <w:widowControl w:val="0"/>
        <w:kinsoku/>
        <w:overflowPunct/>
        <w:topLinePunct w:val="0"/>
        <w:bidi w:val="0"/>
        <w:spacing w:line="360" w:lineRule="auto"/>
        <w:jc w:val="center"/>
        <w:textAlignment w:val="auto"/>
        <w:rPr>
          <w:rFonts w:ascii="仿宋_GB2312" w:hAnsi="Times New Roman" w:eastAsia="仿宋_GB2312"/>
          <w:b/>
          <w:color w:val="000000"/>
          <w:sz w:val="36"/>
          <w:szCs w:val="36"/>
        </w:rPr>
      </w:pPr>
    </w:p>
    <w:p>
      <w:pPr>
        <w:keepNext w:val="0"/>
        <w:keepLines w:val="0"/>
        <w:pageBreakBefore w:val="0"/>
        <w:widowControl w:val="0"/>
        <w:kinsoku/>
        <w:overflowPunct/>
        <w:topLinePunct w:val="0"/>
        <w:bidi w:val="0"/>
        <w:spacing w:line="360" w:lineRule="auto"/>
        <w:jc w:val="center"/>
        <w:textAlignment w:val="auto"/>
        <w:rPr>
          <w:rFonts w:ascii="仿宋_GB2312" w:hAnsi="Times New Roman" w:eastAsia="仿宋_GB2312"/>
          <w:b/>
          <w:color w:val="000000"/>
          <w:sz w:val="36"/>
          <w:szCs w:val="36"/>
        </w:rPr>
      </w:pPr>
    </w:p>
    <w:p>
      <w:pPr>
        <w:keepNext w:val="0"/>
        <w:keepLines w:val="0"/>
        <w:pageBreakBefore w:val="0"/>
        <w:widowControl w:val="0"/>
        <w:kinsoku/>
        <w:overflowPunct/>
        <w:topLinePunct w:val="0"/>
        <w:bidi w:val="0"/>
        <w:spacing w:line="360" w:lineRule="auto"/>
        <w:jc w:val="both"/>
        <w:textAlignment w:val="auto"/>
        <w:rPr>
          <w:rFonts w:hint="eastAsia" w:ascii="仿宋_GB2312" w:hAnsi="Times New Roman" w:eastAsia="仿宋_GB2312"/>
          <w:b/>
          <w:color w:val="000000"/>
          <w:sz w:val="36"/>
          <w:szCs w:val="36"/>
        </w:rPr>
      </w:pPr>
    </w:p>
    <w:p>
      <w:pPr>
        <w:keepNext w:val="0"/>
        <w:keepLines w:val="0"/>
        <w:pageBreakBefore w:val="0"/>
        <w:widowControl w:val="0"/>
        <w:kinsoku/>
        <w:overflowPunct/>
        <w:topLinePunct w:val="0"/>
        <w:bidi w:val="0"/>
        <w:spacing w:line="360" w:lineRule="auto"/>
        <w:jc w:val="center"/>
        <w:textAlignment w:val="auto"/>
        <w:rPr>
          <w:rFonts w:hint="eastAsia" w:asciiTheme="minorEastAsia" w:hAnsiTheme="minorEastAsia" w:eastAsiaTheme="minorEastAsia" w:cstheme="minorEastAsia"/>
          <w:b w:val="0"/>
          <w:bCs/>
          <w:color w:val="000000"/>
          <w:sz w:val="36"/>
          <w:szCs w:val="36"/>
        </w:rPr>
      </w:pPr>
      <w:r>
        <w:rPr>
          <w:rFonts w:hint="eastAsia" w:asciiTheme="minorEastAsia" w:hAnsiTheme="minorEastAsia" w:eastAsiaTheme="minorEastAsia" w:cstheme="minorEastAsia"/>
          <w:b w:val="0"/>
          <w:bCs/>
          <w:color w:val="000000"/>
          <w:sz w:val="36"/>
          <w:szCs w:val="36"/>
        </w:rPr>
        <w:t>招标人：四川天府银行股份有限公司</w:t>
      </w:r>
    </w:p>
    <w:p>
      <w:pPr>
        <w:keepNext w:val="0"/>
        <w:keepLines w:val="0"/>
        <w:pageBreakBefore w:val="0"/>
        <w:widowControl w:val="0"/>
        <w:kinsoku/>
        <w:overflowPunct/>
        <w:topLinePunct w:val="0"/>
        <w:bidi w:val="0"/>
        <w:spacing w:line="360" w:lineRule="auto"/>
        <w:jc w:val="both"/>
        <w:textAlignment w:val="auto"/>
        <w:rPr>
          <w:rFonts w:hint="eastAsia" w:asciiTheme="minorEastAsia" w:hAnsiTheme="minorEastAsia" w:eastAsiaTheme="minorEastAsia" w:cstheme="minorEastAsia"/>
          <w:b w:val="0"/>
          <w:bCs/>
          <w:color w:val="000000"/>
          <w:sz w:val="36"/>
          <w:szCs w:val="36"/>
        </w:rPr>
      </w:pPr>
    </w:p>
    <w:p>
      <w:pPr>
        <w:keepNext w:val="0"/>
        <w:keepLines w:val="0"/>
        <w:pageBreakBefore w:val="0"/>
        <w:widowControl w:val="0"/>
        <w:kinsoku/>
        <w:overflowPunct/>
        <w:topLinePunct w:val="0"/>
        <w:bidi w:val="0"/>
        <w:spacing w:line="360" w:lineRule="auto"/>
        <w:jc w:val="center"/>
        <w:textAlignment w:val="auto"/>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val="0"/>
          <w:bCs/>
          <w:color w:val="000000"/>
          <w:sz w:val="36"/>
          <w:szCs w:val="36"/>
        </w:rPr>
        <w:t>二〇二</w:t>
      </w:r>
      <w:r>
        <w:rPr>
          <w:rFonts w:hint="eastAsia" w:asciiTheme="minorEastAsia" w:hAnsiTheme="minorEastAsia" w:eastAsiaTheme="minorEastAsia" w:cstheme="minorEastAsia"/>
          <w:b w:val="0"/>
          <w:bCs/>
          <w:color w:val="000000"/>
          <w:sz w:val="36"/>
          <w:szCs w:val="36"/>
          <w:lang w:val="en-US" w:eastAsia="zh-CN"/>
        </w:rPr>
        <w:t>五</w:t>
      </w:r>
      <w:r>
        <w:rPr>
          <w:rFonts w:hint="eastAsia" w:asciiTheme="minorEastAsia" w:hAnsiTheme="minorEastAsia" w:eastAsiaTheme="minorEastAsia" w:cstheme="minorEastAsia"/>
          <w:b w:val="0"/>
          <w:bCs/>
          <w:color w:val="000000"/>
          <w:sz w:val="36"/>
          <w:szCs w:val="36"/>
        </w:rPr>
        <w:t>年</w:t>
      </w:r>
      <w:r>
        <w:rPr>
          <w:rFonts w:hint="eastAsia" w:asciiTheme="minorEastAsia" w:hAnsiTheme="minorEastAsia" w:eastAsiaTheme="minorEastAsia" w:cstheme="minorEastAsia"/>
          <w:b w:val="0"/>
          <w:bCs/>
          <w:color w:val="000000"/>
          <w:sz w:val="36"/>
          <w:szCs w:val="36"/>
          <w:lang w:val="en-US" w:eastAsia="zh-CN"/>
        </w:rPr>
        <w:t>二</w:t>
      </w:r>
      <w:r>
        <w:rPr>
          <w:rFonts w:hint="eastAsia" w:asciiTheme="minorEastAsia" w:hAnsiTheme="minorEastAsia" w:eastAsiaTheme="minorEastAsia" w:cstheme="minorEastAsia"/>
          <w:b w:val="0"/>
          <w:bCs/>
          <w:color w:val="000000"/>
          <w:sz w:val="36"/>
          <w:szCs w:val="36"/>
        </w:rPr>
        <w:t>月</w:t>
      </w:r>
    </w:p>
    <w:p>
      <w:pPr>
        <w:keepNext w:val="0"/>
        <w:keepLines w:val="0"/>
        <w:pageBreakBefore w:val="0"/>
        <w:widowControl w:val="0"/>
        <w:kinsoku/>
        <w:overflowPunct/>
        <w:topLinePunct w:val="0"/>
        <w:bidi w:val="0"/>
        <w:jc w:val="left"/>
        <w:textAlignment w:val="auto"/>
        <w:rPr>
          <w:rFonts w:ascii="黑体" w:eastAsia="黑体"/>
          <w:b/>
          <w:color w:val="auto"/>
          <w:sz w:val="32"/>
          <w:szCs w:val="32"/>
          <w:highlight w:val="none"/>
        </w:rPr>
        <w:sectPr>
          <w:headerReference r:id="rId3" w:type="default"/>
          <w:pgSz w:w="11906" w:h="16838"/>
          <w:pgMar w:top="1440" w:right="1797" w:bottom="1440" w:left="1797" w:header="851" w:footer="992" w:gutter="0"/>
          <w:pgBorders w:offsetFrom="page">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overflowPunct/>
        <w:topLinePunct w:val="0"/>
        <w:bidi w:val="0"/>
        <w:jc w:val="center"/>
        <w:textAlignment w:val="auto"/>
        <w:rPr>
          <w:rFonts w:hint="eastAsia" w:ascii="黑体" w:eastAsia="黑体"/>
          <w:b/>
          <w:color w:val="auto"/>
          <w:sz w:val="32"/>
          <w:szCs w:val="32"/>
          <w:highlight w:val="none"/>
        </w:rPr>
      </w:pPr>
    </w:p>
    <w:p>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color w:val="auto"/>
          <w:spacing w:val="20"/>
          <w:sz w:val="21"/>
          <w:szCs w:val="21"/>
          <w:highlight w:val="none"/>
        </w:rPr>
      </w:pPr>
    </w:p>
    <w:sdt>
      <w:sdtPr>
        <w:rPr>
          <w:rFonts w:hint="eastAsia" w:ascii="宋体" w:hAnsi="宋体" w:eastAsia="宋体" w:cs="宋体"/>
          <w:b/>
          <w:bCs/>
          <w:kern w:val="2"/>
          <w:sz w:val="36"/>
          <w:szCs w:val="36"/>
          <w:lang w:val="en-US" w:eastAsia="zh-CN" w:bidi="ar-SA"/>
        </w:rPr>
        <w:id w:val="147452313"/>
        <w15:color w:val="DBDBDB"/>
        <w:docPartObj>
          <w:docPartGallery w:val="Table of Contents"/>
          <w:docPartUnique/>
        </w:docPartObj>
      </w:sdtPr>
      <w:sdtEndPr>
        <w:rPr>
          <w:rFonts w:hint="eastAsia" w:ascii="黑体" w:hAnsi="Times New Roman" w:eastAsia="黑体" w:cs="Times New Roman"/>
          <w:b/>
          <w:bCs/>
          <w:color w:val="auto"/>
          <w:spacing w:val="20"/>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目录</w:t>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color w:val="auto"/>
              <w:spacing w:val="20"/>
              <w:sz w:val="21"/>
              <w:szCs w:val="21"/>
              <w:highlight w:val="none"/>
            </w:rPr>
            <w:instrText xml:space="preserve">TOC \o "1-1" \h \u </w:instrText>
          </w:r>
          <w:r>
            <w:rPr>
              <w:rFonts w:hint="eastAsia" w:ascii="宋体" w:hAnsi="宋体" w:eastAsia="宋体" w:cs="宋体"/>
              <w:color w:val="auto"/>
              <w:spacing w:val="20"/>
              <w:sz w:val="21"/>
              <w:szCs w:val="21"/>
              <w:highlight w:val="none"/>
            </w:rPr>
            <w:fldChar w:fldCharType="separate"/>
          </w: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_Toc32626 </w:instrText>
          </w:r>
          <w:r>
            <w:rPr>
              <w:rFonts w:hint="eastAsia" w:ascii="宋体" w:hAnsi="宋体" w:eastAsia="宋体" w:cs="宋体"/>
              <w:spacing w:val="20"/>
              <w:sz w:val="21"/>
              <w:szCs w:val="21"/>
              <w:highlight w:val="none"/>
            </w:rPr>
            <w:fldChar w:fldCharType="separate"/>
          </w:r>
          <w:r>
            <w:rPr>
              <w:rFonts w:hint="eastAsia" w:ascii="宋体" w:hAnsi="宋体" w:eastAsia="宋体" w:cs="宋体"/>
              <w:snapToGrid w:val="0"/>
              <w:sz w:val="21"/>
              <w:szCs w:val="21"/>
              <w:highlight w:val="none"/>
            </w:rPr>
            <w:t>申明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_Toc32626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_Toc16832 </w:instrText>
          </w:r>
          <w:r>
            <w:rPr>
              <w:rFonts w:hint="eastAsia" w:ascii="宋体" w:hAnsi="宋体" w:eastAsia="宋体" w:cs="宋体"/>
              <w:spacing w:val="20"/>
              <w:sz w:val="21"/>
              <w:szCs w:val="21"/>
              <w:highlight w:val="none"/>
            </w:rPr>
            <w:fldChar w:fldCharType="separate"/>
          </w:r>
          <w:r>
            <w:rPr>
              <w:rFonts w:hint="eastAsia" w:ascii="宋体" w:hAnsi="宋体" w:eastAsia="宋体" w:cs="宋体"/>
              <w:snapToGrid w:val="0"/>
              <w:sz w:val="21"/>
              <w:szCs w:val="21"/>
              <w:highlight w:val="none"/>
            </w:rPr>
            <w:t>第一部分：投标人须知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_Toc16832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_Toc24950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1 </w:t>
          </w:r>
          <w:r>
            <w:rPr>
              <w:rFonts w:hint="eastAsia" w:ascii="宋体" w:hAnsi="宋体" w:eastAsia="宋体" w:cs="宋体"/>
              <w:sz w:val="21"/>
              <w:szCs w:val="21"/>
              <w:highlight w:val="none"/>
            </w:rPr>
            <w:t>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_Toc24950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_Toc22757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2 </w:t>
          </w:r>
          <w:r>
            <w:rPr>
              <w:rFonts w:hint="eastAsia" w:ascii="宋体" w:hAnsi="宋体" w:eastAsia="宋体" w:cs="宋体"/>
              <w:sz w:val="21"/>
              <w:szCs w:val="21"/>
              <w:highlight w:val="none"/>
            </w:rPr>
            <w:t>招标文件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_Toc22757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_Toc3990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3 </w:t>
          </w:r>
          <w:r>
            <w:rPr>
              <w:rFonts w:hint="eastAsia" w:ascii="宋体" w:hAnsi="宋体" w:eastAsia="宋体" w:cs="宋体"/>
              <w:sz w:val="21"/>
              <w:szCs w:val="21"/>
              <w:highlight w:val="none"/>
            </w:rPr>
            <w:t>投标文件的编制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_Toc3990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_Toc29303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4 </w:t>
          </w:r>
          <w:r>
            <w:rPr>
              <w:rFonts w:hint="eastAsia" w:ascii="宋体" w:hAnsi="宋体" w:eastAsia="宋体" w:cs="宋体"/>
              <w:sz w:val="21"/>
              <w:szCs w:val="21"/>
              <w:highlight w:val="none"/>
            </w:rPr>
            <w:t>投标文件的递交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_Toc29303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_Toc23335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5 </w:t>
          </w:r>
          <w:r>
            <w:rPr>
              <w:rFonts w:hint="eastAsia" w:ascii="宋体" w:hAnsi="宋体" w:eastAsia="宋体" w:cs="宋体"/>
              <w:sz w:val="21"/>
              <w:szCs w:val="21"/>
              <w:highlight w:val="none"/>
            </w:rPr>
            <w:t>知识产权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_Toc23335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_Toc14987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6 </w:t>
          </w:r>
          <w:r>
            <w:rPr>
              <w:rFonts w:hint="eastAsia" w:ascii="宋体" w:hAnsi="宋体" w:eastAsia="宋体" w:cs="宋体"/>
              <w:sz w:val="21"/>
              <w:szCs w:val="21"/>
              <w:highlight w:val="none"/>
            </w:rPr>
            <w:t>投标文件评审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_Toc14987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_Toc10169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7 </w:t>
          </w:r>
          <w:r>
            <w:rPr>
              <w:rFonts w:hint="eastAsia" w:ascii="宋体" w:hAnsi="宋体" w:eastAsia="宋体" w:cs="宋体"/>
              <w:sz w:val="21"/>
              <w:szCs w:val="21"/>
              <w:highlight w:val="none"/>
            </w:rPr>
            <w:t>授予合同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_Toc10169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_Toc30481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8 </w:t>
          </w:r>
          <w:r>
            <w:rPr>
              <w:rFonts w:hint="eastAsia" w:ascii="宋体" w:hAnsi="宋体" w:eastAsia="宋体" w:cs="宋体"/>
              <w:sz w:val="21"/>
              <w:szCs w:val="21"/>
              <w:highlight w:val="none"/>
            </w:rPr>
            <w:t>招标文件的解释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_Toc30481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_Toc22926 </w:instrText>
          </w:r>
          <w:r>
            <w:rPr>
              <w:rFonts w:hint="eastAsia" w:ascii="宋体" w:hAnsi="宋体" w:eastAsia="宋体" w:cs="宋体"/>
              <w:spacing w:val="20"/>
              <w:sz w:val="21"/>
              <w:szCs w:val="21"/>
              <w:highlight w:val="none"/>
            </w:rPr>
            <w:fldChar w:fldCharType="separate"/>
          </w:r>
          <w:r>
            <w:rPr>
              <w:rFonts w:hint="eastAsia" w:ascii="宋体" w:hAnsi="宋体" w:eastAsia="宋体" w:cs="宋体"/>
              <w:snapToGrid w:val="0"/>
              <w:sz w:val="21"/>
              <w:szCs w:val="21"/>
              <w:highlight w:val="none"/>
            </w:rPr>
            <w:t>第二部分：</w:t>
          </w:r>
          <w:r>
            <w:rPr>
              <w:rFonts w:hint="eastAsia" w:ascii="宋体" w:hAnsi="宋体" w:eastAsia="宋体" w:cs="宋体"/>
              <w:snapToGrid w:val="0"/>
              <w:sz w:val="21"/>
              <w:szCs w:val="21"/>
              <w:highlight w:val="none"/>
              <w:lang w:eastAsia="zh-CN"/>
            </w:rPr>
            <w:t>服务</w:t>
          </w:r>
          <w:r>
            <w:rPr>
              <w:rFonts w:hint="eastAsia" w:ascii="宋体" w:hAnsi="宋体" w:eastAsia="宋体" w:cs="宋体"/>
              <w:snapToGrid w:val="0"/>
              <w:sz w:val="21"/>
              <w:szCs w:val="21"/>
              <w:highlight w:val="none"/>
            </w:rPr>
            <w:t>内容和要求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_Toc22926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_Toc16632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9 </w:t>
          </w:r>
          <w:r>
            <w:rPr>
              <w:rFonts w:hint="eastAsia" w:ascii="宋体" w:hAnsi="宋体" w:eastAsia="宋体" w:cs="宋体"/>
              <w:sz w:val="21"/>
              <w:szCs w:val="21"/>
              <w:highlight w:val="none"/>
              <w:lang w:eastAsia="zh-CN"/>
            </w:rPr>
            <w:t>基本服务</w:t>
          </w:r>
          <w:r>
            <w:rPr>
              <w:rFonts w:hint="eastAsia" w:ascii="宋体" w:hAnsi="宋体" w:eastAsia="宋体" w:cs="宋体"/>
              <w:sz w:val="21"/>
              <w:szCs w:val="21"/>
              <w:highlight w:val="none"/>
            </w:rPr>
            <w:t>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_Toc16632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_Toc7369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10 </w:t>
          </w:r>
          <w:r>
            <w:rPr>
              <w:rFonts w:hint="eastAsia" w:ascii="宋体" w:hAnsi="宋体" w:eastAsia="宋体" w:cs="宋体"/>
              <w:sz w:val="21"/>
              <w:szCs w:val="21"/>
              <w:highlight w:val="none"/>
            </w:rPr>
            <w:t>服务内容和要求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_Toc7369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_Toc22294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11 </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_Toc22294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_Toc29474 </w:instrText>
          </w:r>
          <w:r>
            <w:rPr>
              <w:rFonts w:hint="eastAsia" w:ascii="宋体" w:hAnsi="宋体" w:eastAsia="宋体" w:cs="宋体"/>
              <w:spacing w:val="20"/>
              <w:sz w:val="21"/>
              <w:szCs w:val="21"/>
              <w:highlight w:val="none"/>
            </w:rPr>
            <w:fldChar w:fldCharType="separate"/>
          </w:r>
          <w:r>
            <w:rPr>
              <w:rFonts w:hint="eastAsia" w:ascii="宋体" w:hAnsi="宋体" w:eastAsia="宋体" w:cs="宋体"/>
              <w:snapToGrid w:val="0"/>
              <w:sz w:val="21"/>
              <w:szCs w:val="21"/>
              <w:highlight w:val="none"/>
            </w:rPr>
            <w:t>第三部分：投标文件格式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_Toc29474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_Toc24982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12 </w:t>
          </w:r>
          <w:r>
            <w:rPr>
              <w:rFonts w:hint="eastAsia" w:ascii="宋体" w:hAnsi="宋体" w:eastAsia="宋体" w:cs="宋体"/>
              <w:sz w:val="21"/>
              <w:szCs w:val="21"/>
              <w:highlight w:val="none"/>
            </w:rPr>
            <w:t>投标函格式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_Toc24982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_Toc9246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13 </w:t>
          </w:r>
          <w:r>
            <w:rPr>
              <w:rFonts w:hint="eastAsia" w:ascii="宋体" w:hAnsi="宋体" w:eastAsia="宋体" w:cs="宋体"/>
              <w:sz w:val="21"/>
              <w:szCs w:val="21"/>
              <w:highlight w:val="none"/>
            </w:rPr>
            <w:t>投标报价表格式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_Toc9246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_Toc29134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14 </w:t>
          </w:r>
          <w:r>
            <w:rPr>
              <w:rFonts w:hint="eastAsia" w:ascii="宋体" w:hAnsi="宋体" w:eastAsia="宋体" w:cs="宋体"/>
              <w:sz w:val="21"/>
              <w:szCs w:val="21"/>
              <w:highlight w:val="none"/>
            </w:rPr>
            <w:t>法定代表人授权委托书格式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_Toc29134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_Toc19481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15 </w:t>
          </w:r>
          <w:r>
            <w:rPr>
              <w:rFonts w:hint="eastAsia" w:ascii="宋体" w:hAnsi="宋体" w:eastAsia="宋体" w:cs="宋体"/>
              <w:sz w:val="21"/>
              <w:szCs w:val="21"/>
              <w:highlight w:val="none"/>
            </w:rPr>
            <w:t>资格声明格式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_Toc19481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leader="dot" w:pos="8312"/>
            </w:tabs>
            <w:rPr>
              <w:rFonts w:hint="eastAsia" w:ascii="宋体" w:hAnsi="宋体" w:eastAsia="宋体" w:cs="宋体"/>
              <w:sz w:val="21"/>
              <w:szCs w:val="21"/>
            </w:rPr>
          </w:pPr>
          <w:r>
            <w:rPr>
              <w:rFonts w:hint="eastAsia" w:ascii="宋体" w:hAnsi="宋体" w:eastAsia="宋体" w:cs="宋体"/>
              <w:color w:val="auto"/>
              <w:spacing w:val="20"/>
              <w:sz w:val="21"/>
              <w:szCs w:val="21"/>
              <w:highlight w:val="none"/>
            </w:rPr>
            <w:fldChar w:fldCharType="begin"/>
          </w:r>
          <w:r>
            <w:rPr>
              <w:rFonts w:hint="eastAsia" w:ascii="宋体" w:hAnsi="宋体" w:eastAsia="宋体" w:cs="宋体"/>
              <w:spacing w:val="20"/>
              <w:sz w:val="21"/>
              <w:szCs w:val="21"/>
              <w:highlight w:val="none"/>
            </w:rPr>
            <w:instrText xml:space="preserve"> HYPERLINK \l _Toc10648 </w:instrText>
          </w:r>
          <w:r>
            <w:rPr>
              <w:rFonts w:hint="eastAsia" w:ascii="宋体" w:hAnsi="宋体" w:eastAsia="宋体" w:cs="宋体"/>
              <w:spacing w:val="20"/>
              <w:sz w:val="21"/>
              <w:szCs w:val="21"/>
              <w:highlight w:val="none"/>
            </w:rPr>
            <w:fldChar w:fldCharType="separate"/>
          </w:r>
          <w:r>
            <w:rPr>
              <w:rFonts w:hint="eastAsia" w:ascii="宋体" w:hAnsi="宋体" w:eastAsia="宋体" w:cs="宋体"/>
              <w:sz w:val="21"/>
              <w:szCs w:val="21"/>
            </w:rPr>
            <w:t xml:space="preserve">16 </w:t>
          </w:r>
          <w:r>
            <w:rPr>
              <w:rFonts w:hint="eastAsia" w:ascii="宋体" w:hAnsi="宋体" w:eastAsia="宋体" w:cs="宋体"/>
              <w:sz w:val="21"/>
              <w:szCs w:val="21"/>
              <w:highlight w:val="none"/>
              <w:lang w:val="en-US" w:eastAsia="zh-CN"/>
            </w:rPr>
            <w:t>商务资格审查文件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_Toc10648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color w:val="auto"/>
              <w:spacing w:val="20"/>
              <w:sz w:val="21"/>
              <w:szCs w:val="21"/>
              <w:highlight w:val="none"/>
            </w:rPr>
            <w:fldChar w:fldCharType="end"/>
          </w:r>
        </w:p>
        <w:p>
          <w:pPr>
            <w:pStyle w:val="17"/>
            <w:tabs>
              <w:tab w:val="right" w:pos="2800"/>
              <w:tab w:val="right" w:leader="dot" w:pos="8312"/>
            </w:tabs>
            <w:rPr>
              <w:rFonts w:hint="eastAsia" w:ascii="宋体" w:hAnsi="宋体" w:eastAsia="宋体" w:cs="宋体"/>
              <w:sz w:val="21"/>
              <w:szCs w:val="21"/>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r>
            <w:rPr>
              <w:rFonts w:hint="eastAsia" w:ascii="宋体" w:hAnsi="宋体" w:eastAsia="宋体" w:cs="宋体"/>
              <w:color w:val="auto"/>
              <w:spacing w:val="20"/>
              <w:sz w:val="21"/>
              <w:szCs w:val="21"/>
              <w:highlight w:val="none"/>
            </w:rPr>
            <w:fldChar w:fldCharType="end"/>
          </w:r>
        </w:p>
      </w:sdtContent>
    </w:sdt>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pStyle w:val="12"/>
        <w:keepNext w:val="0"/>
        <w:keepLines w:val="0"/>
        <w:pageBreakBefore w:val="0"/>
        <w:widowControl w:val="0"/>
        <w:kinsoku/>
        <w:overflowPunct/>
        <w:topLinePunct w:val="0"/>
        <w:bidi w:val="0"/>
        <w:jc w:val="both"/>
        <w:textAlignment w:val="auto"/>
        <w:outlineLvl w:val="9"/>
        <w:rPr>
          <w:rFonts w:hint="eastAsia"/>
          <w:snapToGrid w:val="0"/>
          <w:color w:val="auto"/>
          <w:highlight w:val="none"/>
        </w:rPr>
      </w:pPr>
      <w:bookmarkStart w:id="0" w:name="_Toc55544800"/>
      <w:bookmarkStart w:id="1" w:name="_Toc485930523"/>
    </w:p>
    <w:p>
      <w:pPr>
        <w:pStyle w:val="12"/>
        <w:keepNext w:val="0"/>
        <w:keepLines w:val="0"/>
        <w:pageBreakBefore w:val="0"/>
        <w:widowControl w:val="0"/>
        <w:kinsoku/>
        <w:overflowPunct/>
        <w:topLinePunct w:val="0"/>
        <w:bidi w:val="0"/>
        <w:textAlignment w:val="auto"/>
        <w:rPr>
          <w:snapToGrid w:val="0"/>
          <w:color w:val="auto"/>
          <w:sz w:val="36"/>
          <w:szCs w:val="36"/>
          <w:highlight w:val="none"/>
        </w:rPr>
      </w:pPr>
      <w:bookmarkStart w:id="2" w:name="_Toc32626"/>
      <w:r>
        <w:rPr>
          <w:rFonts w:hint="eastAsia"/>
          <w:snapToGrid w:val="0"/>
          <w:color w:val="auto"/>
          <w:sz w:val="36"/>
          <w:szCs w:val="36"/>
          <w:highlight w:val="none"/>
        </w:rPr>
        <w:t>申明</w:t>
      </w:r>
      <w:bookmarkEnd w:id="0"/>
      <w:bookmarkEnd w:id="1"/>
      <w:bookmarkEnd w:id="2"/>
    </w:p>
    <w:p>
      <w:pPr>
        <w:keepNext w:val="0"/>
        <w:keepLines w:val="0"/>
        <w:pageBreakBefore w:val="0"/>
        <w:widowControl w:val="0"/>
        <w:kinsoku/>
        <w:overflowPunct/>
        <w:topLinePunct w:val="0"/>
        <w:autoSpaceDE w:val="0"/>
        <w:autoSpaceDN w:val="0"/>
        <w:bidi w:val="0"/>
        <w:adjustRightInd w:val="0"/>
        <w:spacing w:line="560" w:lineRule="atLeast"/>
        <w:jc w:val="center"/>
        <w:textAlignment w:val="auto"/>
        <w:rPr>
          <w:rFonts w:ascii="宋体" w:hAnsi="宋体"/>
          <w:snapToGrid w:val="0"/>
          <w:color w:val="auto"/>
          <w:highlight w:val="none"/>
        </w:rPr>
      </w:pPr>
    </w:p>
    <w:p>
      <w:pPr>
        <w:keepNext w:val="0"/>
        <w:keepLines w:val="0"/>
        <w:pageBreakBefore w:val="0"/>
        <w:widowControl w:val="0"/>
        <w:kinsoku/>
        <w:wordWrap w:val="0"/>
        <w:overflowPunct/>
        <w:topLinePunct w:val="0"/>
        <w:autoSpaceDE w:val="0"/>
        <w:autoSpaceDN w:val="0"/>
        <w:bidi w:val="0"/>
        <w:adjustRightInd w:val="0"/>
        <w:spacing w:line="560" w:lineRule="atLeast"/>
        <w:ind w:firstLine="624"/>
        <w:textAlignment w:val="auto"/>
        <w:rPr>
          <w:rFonts w:hint="eastAsia" w:ascii="宋体" w:hAnsi="宋体" w:eastAsia="宋体" w:cs="Times New Roman"/>
          <w:snapToGrid w:val="0"/>
          <w:sz w:val="21"/>
          <w:szCs w:val="21"/>
        </w:rPr>
      </w:pPr>
      <w:r>
        <w:rPr>
          <w:rFonts w:hint="eastAsia" w:ascii="宋体" w:hAnsi="宋体"/>
          <w:snapToGrid w:val="0"/>
          <w:sz w:val="21"/>
          <w:szCs w:val="21"/>
        </w:rPr>
        <w:t>本招标文件专用于</w:t>
      </w:r>
      <w:r>
        <w:rPr>
          <w:rFonts w:hint="eastAsia" w:ascii="宋体" w:hAnsi="宋体"/>
          <w:snapToGrid w:val="0"/>
          <w:sz w:val="21"/>
          <w:szCs w:val="21"/>
          <w:u w:val="single"/>
        </w:rPr>
        <w:t>四川天府银行股份有限公司</w:t>
      </w:r>
      <w:r>
        <w:rPr>
          <w:rFonts w:hint="eastAsia" w:ascii="宋体" w:hAnsi="宋体" w:eastAsia="宋体" w:cs="Times New Roman"/>
          <w:snapToGrid w:val="0"/>
          <w:sz w:val="21"/>
          <w:szCs w:val="21"/>
          <w:u w:val="single"/>
        </w:rPr>
        <w:t>舆情监测与</w:t>
      </w:r>
      <w:r>
        <w:rPr>
          <w:rFonts w:hint="eastAsia" w:ascii="宋体" w:hAnsi="宋体" w:cs="Times New Roman"/>
          <w:snapToGrid w:val="0"/>
          <w:sz w:val="21"/>
          <w:szCs w:val="21"/>
          <w:u w:val="single"/>
          <w:lang w:val="en-US" w:eastAsia="zh-CN"/>
        </w:rPr>
        <w:t>处置</w:t>
      </w:r>
      <w:r>
        <w:rPr>
          <w:rFonts w:hint="eastAsia" w:ascii="宋体" w:hAnsi="宋体" w:eastAsia="宋体" w:cs="Times New Roman"/>
          <w:snapToGrid w:val="0"/>
          <w:sz w:val="21"/>
          <w:szCs w:val="21"/>
          <w:u w:val="single"/>
        </w:rPr>
        <w:t>服务</w:t>
      </w:r>
      <w:r>
        <w:rPr>
          <w:rFonts w:hint="eastAsia" w:ascii="宋体" w:hAnsi="宋体" w:eastAsia="宋体" w:cs="Times New Roman"/>
          <w:snapToGrid w:val="0"/>
          <w:sz w:val="21"/>
          <w:szCs w:val="21"/>
        </w:rPr>
        <w:t>招标，招标文件内容解释权归招标人所有。参加投标单位即视为无条件同意本申明并保证对本招标文件可能涉及的招标人商业秘密予以保密，除经招标人书面同意外，任何单位和个人不得为参与本项目投标以外的目的而出版、复制、传播、销售及使用本招标文件。</w:t>
      </w: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ascii="黑体" w:eastAsia="黑体"/>
          <w:color w:val="auto"/>
          <w:spacing w:val="20"/>
          <w:sz w:val="32"/>
          <w:highlight w:val="none"/>
        </w:rPr>
      </w:pPr>
    </w:p>
    <w:p>
      <w:pPr>
        <w:keepNext w:val="0"/>
        <w:keepLines w:val="0"/>
        <w:pageBreakBefore w:val="0"/>
        <w:widowControl w:val="0"/>
        <w:kinsoku/>
        <w:overflowPunct/>
        <w:topLinePunct w:val="0"/>
        <w:bidi w:val="0"/>
        <w:spacing w:line="360" w:lineRule="auto"/>
        <w:jc w:val="center"/>
        <w:textAlignment w:val="auto"/>
        <w:rPr>
          <w:rFonts w:hint="eastAsia"/>
          <w:snapToGrid w:val="0"/>
          <w:color w:val="auto"/>
          <w:highlight w:val="none"/>
        </w:rPr>
      </w:pPr>
      <w:r>
        <w:rPr>
          <w:rFonts w:ascii="黑体" w:eastAsia="黑体"/>
          <w:color w:val="auto"/>
          <w:spacing w:val="20"/>
          <w:sz w:val="32"/>
          <w:highlight w:val="none"/>
        </w:rPr>
        <w:br w:type="page"/>
      </w:r>
      <w:bookmarkStart w:id="3" w:name="_Toc55544801"/>
    </w:p>
    <w:p>
      <w:pPr>
        <w:pStyle w:val="12"/>
        <w:keepNext w:val="0"/>
        <w:keepLines w:val="0"/>
        <w:pageBreakBefore w:val="0"/>
        <w:widowControl w:val="0"/>
        <w:kinsoku/>
        <w:overflowPunct/>
        <w:topLinePunct w:val="0"/>
        <w:bidi w:val="0"/>
        <w:jc w:val="both"/>
        <w:textAlignment w:val="auto"/>
        <w:outlineLvl w:val="9"/>
        <w:rPr>
          <w:rFonts w:hint="eastAsia"/>
          <w:snapToGrid w:val="0"/>
          <w:color w:val="auto"/>
          <w:sz w:val="36"/>
          <w:szCs w:val="36"/>
          <w:highlight w:val="none"/>
        </w:rPr>
      </w:pPr>
    </w:p>
    <w:p>
      <w:pPr>
        <w:pStyle w:val="12"/>
        <w:keepNext w:val="0"/>
        <w:keepLines w:val="0"/>
        <w:pageBreakBefore w:val="0"/>
        <w:widowControl w:val="0"/>
        <w:kinsoku/>
        <w:overflowPunct/>
        <w:topLinePunct w:val="0"/>
        <w:bidi w:val="0"/>
        <w:textAlignment w:val="auto"/>
        <w:rPr>
          <w:rFonts w:ascii="黑体"/>
          <w:color w:val="auto"/>
          <w:spacing w:val="20"/>
          <w:sz w:val="36"/>
          <w:szCs w:val="36"/>
          <w:highlight w:val="none"/>
        </w:rPr>
      </w:pPr>
      <w:bookmarkStart w:id="4" w:name="_Toc16832"/>
      <w:r>
        <w:rPr>
          <w:rFonts w:hint="eastAsia"/>
          <w:snapToGrid w:val="0"/>
          <w:color w:val="auto"/>
          <w:sz w:val="36"/>
          <w:szCs w:val="36"/>
          <w:highlight w:val="none"/>
        </w:rPr>
        <w:t>第一部分：投标人须知</w:t>
      </w:r>
      <w:bookmarkEnd w:id="3"/>
      <w:bookmarkEnd w:id="4"/>
    </w:p>
    <w:p>
      <w:pPr>
        <w:pStyle w:val="2"/>
        <w:keepNext w:val="0"/>
        <w:keepLines w:val="0"/>
        <w:pageBreakBefore w:val="0"/>
        <w:widowControl w:val="0"/>
        <w:kinsoku/>
        <w:overflowPunct/>
        <w:topLinePunct w:val="0"/>
        <w:bidi w:val="0"/>
        <w:textAlignment w:val="auto"/>
        <w:rPr>
          <w:color w:val="auto"/>
          <w:highlight w:val="none"/>
        </w:rPr>
      </w:pPr>
      <w:bookmarkStart w:id="5" w:name="_Toc24950"/>
      <w:bookmarkStart w:id="6" w:name="_Toc55544802"/>
      <w:r>
        <w:rPr>
          <w:rFonts w:hint="eastAsia"/>
          <w:color w:val="auto"/>
          <w:highlight w:val="none"/>
        </w:rPr>
        <w:t>说明</w:t>
      </w:r>
      <w:bookmarkEnd w:id="5"/>
      <w:bookmarkEnd w:id="6"/>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7" w:name="_Toc55544803"/>
      <w:r>
        <w:rPr>
          <w:rFonts w:hint="eastAsia"/>
          <w:color w:val="auto"/>
          <w:highlight w:val="none"/>
        </w:rPr>
        <w:t>招标项目概要</w:t>
      </w:r>
      <w:bookmarkEnd w:id="7"/>
    </w:p>
    <w:p>
      <w:pPr>
        <w:keepNext w:val="0"/>
        <w:keepLines w:val="0"/>
        <w:pageBreakBefore w:val="0"/>
        <w:widowControl w:val="0"/>
        <w:kinsoku/>
        <w:overflowPunct/>
        <w:topLinePunct w:val="0"/>
        <w:bidi w:val="0"/>
        <w:spacing w:line="360" w:lineRule="auto"/>
        <w:textAlignment w:val="auto"/>
        <w:rPr>
          <w:rFonts w:ascii="黑体" w:eastAsia="黑体"/>
          <w:color w:val="auto"/>
          <w:sz w:val="32"/>
          <w:highlight w:val="none"/>
        </w:rPr>
      </w:pPr>
      <w:r>
        <w:rPr>
          <w:rFonts w:hint="eastAsia"/>
          <w:color w:val="auto"/>
          <w:highlight w:val="none"/>
        </w:rPr>
        <w:t>招标人：</w:t>
      </w:r>
      <w:r>
        <w:rPr>
          <w:color w:val="auto"/>
          <w:highlight w:val="none"/>
          <w:u w:val="single"/>
        </w:rPr>
        <w:t>四川天府银行股份有限公司</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项目名称：</w:t>
      </w:r>
      <w:r>
        <w:rPr>
          <w:rFonts w:hint="eastAsia" w:ascii="宋体" w:hAnsi="宋体" w:eastAsia="宋体" w:cs="宋体"/>
          <w:sz w:val="21"/>
          <w:szCs w:val="21"/>
          <w:u w:val="single"/>
        </w:rPr>
        <w:t>四川天府银行股份有限公司舆情监测与</w:t>
      </w:r>
      <w:r>
        <w:rPr>
          <w:rFonts w:hint="eastAsia" w:hAnsi="宋体" w:cs="宋体"/>
          <w:sz w:val="21"/>
          <w:szCs w:val="21"/>
          <w:u w:val="single"/>
          <w:lang w:val="en-US" w:eastAsia="zh-CN"/>
        </w:rPr>
        <w:t>处置服务项目</w:t>
      </w:r>
      <w:r>
        <w:rPr>
          <w:rFonts w:hint="eastAsia"/>
          <w:color w:val="auto"/>
          <w:highlight w:val="none"/>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项目内容：</w:t>
      </w:r>
      <w:r>
        <w:rPr>
          <w:rFonts w:hint="eastAsia"/>
          <w:color w:val="auto"/>
          <w:highlight w:val="none"/>
          <w:u w:val="single"/>
          <w:lang w:val="en-US" w:eastAsia="zh-CN"/>
        </w:rPr>
        <w:t>为</w:t>
      </w:r>
      <w:r>
        <w:rPr>
          <w:rFonts w:hint="eastAsia"/>
          <w:color w:val="auto"/>
          <w:highlight w:val="none"/>
          <w:u w:val="single"/>
        </w:rPr>
        <w:t>我行提供舆情监测与</w:t>
      </w:r>
      <w:r>
        <w:rPr>
          <w:rFonts w:hint="eastAsia"/>
          <w:color w:val="auto"/>
          <w:highlight w:val="none"/>
          <w:u w:val="single"/>
          <w:lang w:val="en-US" w:eastAsia="zh-CN"/>
        </w:rPr>
        <w:t>处置</w:t>
      </w:r>
      <w:r>
        <w:rPr>
          <w:rFonts w:hint="eastAsia"/>
          <w:color w:val="auto"/>
          <w:highlight w:val="none"/>
          <w:u w:val="single"/>
        </w:rPr>
        <w:t>服务，内容包含舆情监测、搜索引擎优化等。</w:t>
      </w:r>
    </w:p>
    <w:p>
      <w:pPr>
        <w:pStyle w:val="4"/>
        <w:keepNext w:val="0"/>
        <w:keepLines w:val="0"/>
        <w:pageBreakBefore w:val="0"/>
        <w:widowControl w:val="0"/>
        <w:kinsoku/>
        <w:overflowPunct/>
        <w:topLinePunct w:val="0"/>
        <w:bidi w:val="0"/>
        <w:textAlignment w:val="auto"/>
        <w:rPr>
          <w:rFonts w:eastAsia="宋体" w:cs="Times New Roman"/>
          <w:color w:val="auto"/>
          <w:highlight w:val="none"/>
          <w:u w:val="single"/>
        </w:rPr>
      </w:pPr>
      <w:r>
        <w:rPr>
          <w:rFonts w:hint="eastAsia"/>
          <w:color w:val="auto"/>
          <w:highlight w:val="none"/>
        </w:rPr>
        <w:t>招标方式：</w:t>
      </w:r>
      <w:r>
        <w:rPr>
          <w:rFonts w:hint="eastAsia"/>
          <w:color w:val="auto"/>
          <w:highlight w:val="none"/>
          <w:u w:val="single"/>
          <w:lang w:val="en-US" w:eastAsia="zh-CN"/>
        </w:rPr>
        <w:t>公开招标</w:t>
      </w:r>
    </w:p>
    <w:p>
      <w:pPr>
        <w:pStyle w:val="4"/>
        <w:keepNext w:val="0"/>
        <w:keepLines w:val="0"/>
        <w:pageBreakBefore w:val="0"/>
        <w:widowControl w:val="0"/>
        <w:kinsoku/>
        <w:overflowPunct/>
        <w:topLinePunct w:val="0"/>
        <w:bidi w:val="0"/>
        <w:textAlignment w:val="auto"/>
        <w:rPr>
          <w:color w:val="auto"/>
          <w:highlight w:val="none"/>
          <w:u w:val="single"/>
        </w:rPr>
      </w:pPr>
      <w:r>
        <w:rPr>
          <w:rFonts w:hint="eastAsia"/>
          <w:color w:val="auto"/>
          <w:highlight w:val="none"/>
        </w:rPr>
        <w:t>合同履行地：</w:t>
      </w:r>
      <w:r>
        <w:rPr>
          <w:color w:val="auto"/>
          <w:highlight w:val="none"/>
          <w:u w:val="single"/>
        </w:rPr>
        <w:t>四川天府银行股份有限公司</w:t>
      </w:r>
    </w:p>
    <w:p>
      <w:pPr>
        <w:pStyle w:val="4"/>
        <w:keepNext w:val="0"/>
        <w:keepLines w:val="0"/>
        <w:pageBreakBefore w:val="0"/>
        <w:widowControl w:val="0"/>
        <w:kinsoku/>
        <w:overflowPunct/>
        <w:topLinePunct w:val="0"/>
        <w:bidi w:val="0"/>
        <w:textAlignment w:val="auto"/>
        <w:rPr>
          <w:color w:val="auto"/>
          <w:highlight w:val="none"/>
          <w:u w:val="single"/>
        </w:rPr>
      </w:pPr>
      <w:r>
        <w:rPr>
          <w:rFonts w:hint="eastAsia" w:eastAsia="宋体" w:cs="Times New Roman"/>
          <w:color w:val="auto"/>
          <w:highlight w:val="none"/>
        </w:rPr>
        <w:t>发放标书时间：</w:t>
      </w:r>
      <w:r>
        <w:rPr>
          <w:rFonts w:hint="eastAsia"/>
          <w:color w:val="auto"/>
          <w:highlight w:val="none"/>
          <w:u w:val="single"/>
          <w:lang w:val="en-US" w:eastAsia="zh-CN"/>
        </w:rPr>
        <w:t>以招标人通知为准</w:t>
      </w:r>
      <w:r>
        <w:rPr>
          <w:rFonts w:hint="eastAsia"/>
          <w:color w:val="auto"/>
          <w:highlight w:val="none"/>
          <w:u w:val="single"/>
        </w:rPr>
        <w:t>。</w:t>
      </w:r>
    </w:p>
    <w:p>
      <w:pPr>
        <w:pStyle w:val="4"/>
        <w:keepNext w:val="0"/>
        <w:keepLines w:val="0"/>
        <w:pageBreakBefore w:val="0"/>
        <w:widowControl w:val="0"/>
        <w:kinsoku/>
        <w:overflowPunct/>
        <w:topLinePunct w:val="0"/>
        <w:bidi w:val="0"/>
        <w:textAlignment w:val="auto"/>
        <w:rPr>
          <w:color w:val="auto"/>
          <w:highlight w:val="none"/>
          <w:u w:val="single"/>
        </w:rPr>
      </w:pPr>
      <w:r>
        <w:rPr>
          <w:rFonts w:hint="eastAsia" w:eastAsia="宋体" w:cs="Times New Roman"/>
          <w:color w:val="auto"/>
          <w:highlight w:val="none"/>
        </w:rPr>
        <w:t>投标截止时间：</w:t>
      </w:r>
      <w:r>
        <w:rPr>
          <w:rFonts w:hint="eastAsia"/>
          <w:color w:val="auto"/>
          <w:highlight w:val="none"/>
          <w:u w:val="single"/>
          <w:lang w:val="en-US" w:eastAsia="zh-CN"/>
        </w:rPr>
        <w:t>2025年3月2日</w:t>
      </w:r>
    </w:p>
    <w:p>
      <w:pPr>
        <w:pStyle w:val="4"/>
        <w:keepNext w:val="0"/>
        <w:keepLines w:val="0"/>
        <w:pageBreakBefore w:val="0"/>
        <w:widowControl w:val="0"/>
        <w:kinsoku/>
        <w:overflowPunct/>
        <w:topLinePunct w:val="0"/>
        <w:bidi w:val="0"/>
        <w:textAlignment w:val="auto"/>
        <w:rPr>
          <w:color w:val="auto"/>
          <w:highlight w:val="none"/>
          <w:u w:val="single"/>
        </w:rPr>
      </w:pPr>
      <w:r>
        <w:rPr>
          <w:rFonts w:hint="eastAsia" w:eastAsia="宋体" w:cs="Times New Roman"/>
          <w:color w:val="auto"/>
          <w:highlight w:val="none"/>
        </w:rPr>
        <w:t>开标时间：</w:t>
      </w:r>
      <w:r>
        <w:rPr>
          <w:rFonts w:hint="eastAsia"/>
          <w:color w:val="auto"/>
          <w:highlight w:val="none"/>
          <w:u w:val="single"/>
          <w:lang w:val="en-US" w:eastAsia="zh-CN"/>
        </w:rPr>
        <w:t>以招标人通知为准</w:t>
      </w:r>
      <w:r>
        <w:rPr>
          <w:rFonts w:hint="eastAsia"/>
          <w:color w:val="auto"/>
          <w:highlight w:val="none"/>
          <w:u w:val="single"/>
        </w:rPr>
        <w:t>。</w:t>
      </w:r>
    </w:p>
    <w:p>
      <w:pPr>
        <w:pStyle w:val="4"/>
        <w:keepNext w:val="0"/>
        <w:keepLines w:val="0"/>
        <w:pageBreakBefore w:val="0"/>
        <w:widowControl w:val="0"/>
        <w:kinsoku/>
        <w:overflowPunct/>
        <w:topLinePunct w:val="0"/>
        <w:bidi w:val="0"/>
        <w:textAlignment w:val="auto"/>
        <w:rPr>
          <w:rFonts w:eastAsia="宋体" w:cs="Times New Roman"/>
          <w:color w:val="auto"/>
          <w:highlight w:val="none"/>
          <w:u w:val="single"/>
        </w:rPr>
      </w:pPr>
      <w:r>
        <w:rPr>
          <w:rFonts w:hint="eastAsia" w:eastAsia="宋体" w:cs="Times New Roman"/>
          <w:color w:val="auto"/>
          <w:highlight w:val="none"/>
        </w:rPr>
        <w:t>开标地点：</w:t>
      </w:r>
      <w:r>
        <w:rPr>
          <w:rFonts w:hint="eastAsia" w:eastAsia="宋体" w:cs="Times New Roman"/>
          <w:color w:val="auto"/>
          <w:highlight w:val="none"/>
          <w:u w:val="single"/>
        </w:rPr>
        <w:t>四川天府银行成都分行办公大楼，四川省成都市锦江区下东大街258号1号楼。</w:t>
      </w:r>
    </w:p>
    <w:p>
      <w:pPr>
        <w:pStyle w:val="4"/>
        <w:keepNext w:val="0"/>
        <w:keepLines w:val="0"/>
        <w:pageBreakBefore w:val="0"/>
        <w:widowControl w:val="0"/>
        <w:kinsoku/>
        <w:overflowPunct/>
        <w:topLinePunct w:val="0"/>
        <w:bidi w:val="0"/>
        <w:textAlignment w:val="auto"/>
        <w:rPr>
          <w:color w:val="auto"/>
          <w:highlight w:val="none"/>
          <w:u w:val="single"/>
        </w:rPr>
      </w:pPr>
      <w:r>
        <w:rPr>
          <w:rFonts w:hint="eastAsia" w:eastAsia="宋体" w:cs="Times New Roman"/>
          <w:color w:val="auto"/>
          <w:highlight w:val="none"/>
        </w:rPr>
        <w:t>联系人：</w:t>
      </w:r>
      <w:r>
        <w:rPr>
          <w:rFonts w:hint="eastAsia"/>
          <w:color w:val="auto"/>
          <w:highlight w:val="none"/>
          <w:u w:val="single"/>
          <w:lang w:eastAsia="zh-CN"/>
        </w:rPr>
        <w:t>刘纯燕 18113867367</w:t>
      </w:r>
      <w:r>
        <w:rPr>
          <w:rFonts w:hint="eastAsia"/>
          <w:color w:val="auto"/>
          <w:highlight w:val="none"/>
          <w:u w:val="single"/>
        </w:rPr>
        <w:t xml:space="preserve">  </w:t>
      </w:r>
    </w:p>
    <w:p>
      <w:pPr>
        <w:pStyle w:val="4"/>
        <w:keepNext w:val="0"/>
        <w:keepLines w:val="0"/>
        <w:pageBreakBefore w:val="0"/>
        <w:widowControl w:val="0"/>
        <w:numPr>
          <w:ilvl w:val="0"/>
          <w:numId w:val="0"/>
        </w:numPr>
        <w:tabs>
          <w:tab w:val="clear" w:pos="720"/>
        </w:tabs>
        <w:kinsoku/>
        <w:overflowPunct/>
        <w:topLinePunct w:val="0"/>
        <w:bidi w:val="0"/>
        <w:ind w:left="720" w:firstLine="840" w:firstLineChars="400"/>
        <w:textAlignment w:val="auto"/>
        <w:rPr>
          <w:rFonts w:hint="default" w:eastAsia="宋体"/>
          <w:color w:val="auto"/>
          <w:highlight w:val="none"/>
          <w:u w:val="single"/>
          <w:lang w:val="en-US" w:eastAsia="zh-CN"/>
        </w:rPr>
      </w:pPr>
      <w:r>
        <w:rPr>
          <w:rFonts w:hint="eastAsia"/>
          <w:color w:val="auto"/>
          <w:highlight w:val="none"/>
          <w:u w:val="single"/>
          <w:lang w:val="en-US" w:eastAsia="zh-CN"/>
        </w:rPr>
        <w:t>张  贝 17602888616</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8" w:name="_Toc55544804"/>
      <w:r>
        <w:rPr>
          <w:rFonts w:hint="eastAsia"/>
          <w:color w:val="auto"/>
          <w:highlight w:val="none"/>
        </w:rPr>
        <w:t>适用范围</w:t>
      </w:r>
      <w:bookmarkEnd w:id="8"/>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本招标文件仅适用于本项目招标文件中所叙述的项目。</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9" w:name="_Toc55544805"/>
      <w:r>
        <w:rPr>
          <w:rFonts w:hint="eastAsia"/>
          <w:color w:val="auto"/>
          <w:highlight w:val="none"/>
        </w:rPr>
        <w:t>法律适用</w:t>
      </w:r>
      <w:bookmarkEnd w:id="9"/>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本招标文件及由本次招标产生的合同适用中华人民共和国法律。</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0" w:name="_Toc55544806"/>
      <w:r>
        <w:rPr>
          <w:rFonts w:hint="eastAsia"/>
          <w:color w:val="auto"/>
          <w:highlight w:val="none"/>
        </w:rPr>
        <w:t>定义及解释</w:t>
      </w:r>
      <w:bookmarkEnd w:id="10"/>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用户：</w:t>
      </w:r>
      <w:r>
        <w:rPr>
          <w:color w:val="auto"/>
          <w:highlight w:val="none"/>
        </w:rPr>
        <w:t>四川天府银行</w:t>
      </w:r>
      <w:r>
        <w:rPr>
          <w:rFonts w:hint="eastAsia"/>
          <w:color w:val="auto"/>
          <w:highlight w:val="none"/>
        </w:rPr>
        <w:t>。</w:t>
      </w:r>
    </w:p>
    <w:p>
      <w:pPr>
        <w:pStyle w:val="4"/>
        <w:keepNext w:val="0"/>
        <w:keepLines w:val="0"/>
        <w:pageBreakBefore w:val="0"/>
        <w:widowControl w:val="0"/>
        <w:kinsoku/>
        <w:overflowPunct/>
        <w:topLinePunct w:val="0"/>
        <w:bidi w:val="0"/>
        <w:textAlignment w:val="auto"/>
        <w:rPr>
          <w:rFonts w:hint="eastAsia"/>
          <w:color w:val="auto"/>
          <w:highlight w:val="none"/>
        </w:rPr>
      </w:pPr>
      <w:r>
        <w:rPr>
          <w:rFonts w:hint="eastAsia"/>
          <w:color w:val="auto"/>
          <w:highlight w:val="none"/>
        </w:rPr>
        <w:t>服务：</w:t>
      </w:r>
      <w:r>
        <w:rPr>
          <w:rFonts w:hint="eastAsia" w:hAnsi="宋体"/>
          <w:color w:val="auto"/>
          <w:szCs w:val="21"/>
          <w:highlight w:val="none"/>
        </w:rPr>
        <w:t>招标文件规定投标人必须满足的服务要求</w:t>
      </w:r>
      <w:r>
        <w:rPr>
          <w:rFonts w:hint="eastAsia" w:hAnsi="宋体"/>
          <w:color w:val="auto"/>
          <w:szCs w:val="21"/>
          <w:highlight w:val="none"/>
          <w:lang w:eastAsia="zh-CN"/>
        </w:rPr>
        <w:t>、</w:t>
      </w:r>
      <w:r>
        <w:rPr>
          <w:rFonts w:hint="eastAsia" w:hAnsi="宋体"/>
          <w:color w:val="auto"/>
          <w:szCs w:val="21"/>
          <w:highlight w:val="none"/>
        </w:rPr>
        <w:t>后续服务及其他相关义务</w:t>
      </w:r>
      <w:r>
        <w:rPr>
          <w:rFonts w:hint="eastAsia" w:hAnsi="宋体"/>
          <w:color w:val="auto"/>
          <w:szCs w:val="21"/>
          <w:highlight w:val="none"/>
          <w:lang w:eastAsia="zh-CN"/>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日期：指公历日。</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合同：指依据本次</w:t>
      </w:r>
      <w:r>
        <w:rPr>
          <w:rFonts w:hint="eastAsia"/>
          <w:color w:val="auto"/>
          <w:highlight w:val="none"/>
          <w:lang w:eastAsia="zh-CN"/>
        </w:rPr>
        <w:t>项目</w:t>
      </w:r>
      <w:r>
        <w:rPr>
          <w:rFonts w:hint="eastAsia"/>
          <w:color w:val="auto"/>
          <w:highlight w:val="none"/>
        </w:rPr>
        <w:t>招标结果签订的意向书、协议或合约文件。</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招标文件中的标题或题名仅起引导作用，而不应视为对招标文件内容的理解和解释。</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招标文件中所规定的“书面形式”，包括纸质文件和电讯文件形式，既含手写、打印或印刷的文字资料形式，也包括传真等通讯形成文件。</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1" w:name="_Toc55544807"/>
      <w:r>
        <w:rPr>
          <w:rFonts w:hint="eastAsia"/>
          <w:color w:val="auto"/>
          <w:highlight w:val="none"/>
        </w:rPr>
        <w:t>合格投标人</w:t>
      </w:r>
      <w:bookmarkEnd w:id="11"/>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合格投标人</w:t>
      </w:r>
    </w:p>
    <w:p>
      <w:pPr>
        <w:keepNext w:val="0"/>
        <w:keepLines w:val="0"/>
        <w:pageBreakBefore w:val="0"/>
        <w:widowControl w:val="0"/>
        <w:kinsoku/>
        <w:overflowPunct/>
        <w:topLinePunct w:val="0"/>
        <w:bidi w:val="0"/>
        <w:spacing w:line="360" w:lineRule="auto"/>
        <w:ind w:firstLine="420" w:firstLineChars="200"/>
        <w:textAlignment w:val="auto"/>
        <w:rPr>
          <w:rFonts w:hint="default" w:ascii="宋体" w:hAnsi="宋体" w:eastAsia="宋体" w:cs="宋体"/>
          <w:b/>
          <w:bCs/>
          <w:color w:val="auto"/>
          <w:sz w:val="21"/>
          <w:szCs w:val="21"/>
          <w:lang w:val="en-US" w:eastAsia="zh-CN"/>
        </w:rPr>
      </w:pPr>
      <w:r>
        <w:rPr>
          <w:rFonts w:hint="eastAsia" w:ascii="宋体" w:hAnsi="宋体" w:eastAsia="宋体" w:cs="宋体"/>
          <w:color w:val="auto"/>
          <w:sz w:val="21"/>
          <w:szCs w:val="21"/>
        </w:rPr>
        <w:t>（1）投标方须为在中华人民共和国境内合法注册的企业法人或其他组织，公司</w:t>
      </w:r>
      <w:r>
        <w:rPr>
          <w:rFonts w:hint="eastAsia" w:ascii="宋体" w:hAnsi="宋体" w:cs="宋体"/>
          <w:color w:val="auto"/>
          <w:sz w:val="21"/>
          <w:szCs w:val="21"/>
          <w:lang w:val="en-US" w:eastAsia="zh-CN"/>
        </w:rPr>
        <w:t>原则上应</w:t>
      </w:r>
      <w:r>
        <w:rPr>
          <w:rFonts w:hint="eastAsia" w:ascii="宋体" w:hAnsi="宋体" w:eastAsia="宋体" w:cs="宋体"/>
          <w:color w:val="auto"/>
          <w:sz w:val="21"/>
          <w:szCs w:val="21"/>
        </w:rPr>
        <w:t>成立</w:t>
      </w:r>
      <w:r>
        <w:rPr>
          <w:rFonts w:hint="default" w:ascii="宋体" w:hAnsi="宋体" w:eastAsia="宋体" w:cs="宋体"/>
          <w:color w:val="auto"/>
          <w:sz w:val="21"/>
          <w:szCs w:val="21"/>
        </w:rPr>
        <w:t>3</w:t>
      </w:r>
      <w:r>
        <w:rPr>
          <w:rFonts w:hint="eastAsia" w:ascii="宋体" w:hAnsi="宋体" w:eastAsia="宋体" w:cs="宋体"/>
          <w:color w:val="auto"/>
          <w:sz w:val="21"/>
          <w:szCs w:val="21"/>
        </w:rPr>
        <w:t>年以上，注册资金</w:t>
      </w:r>
      <w:r>
        <w:rPr>
          <w:rFonts w:hint="default" w:ascii="宋体" w:hAnsi="宋体" w:eastAsia="宋体" w:cs="宋体"/>
          <w:color w:val="auto"/>
          <w:sz w:val="21"/>
          <w:szCs w:val="21"/>
        </w:rPr>
        <w:t>100</w:t>
      </w:r>
      <w:r>
        <w:rPr>
          <w:rFonts w:hint="eastAsia" w:ascii="宋体" w:hAnsi="宋体" w:eastAsia="宋体" w:cs="宋体"/>
          <w:color w:val="auto"/>
          <w:sz w:val="21"/>
          <w:szCs w:val="21"/>
        </w:rPr>
        <w:t>万以上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具备有效的营业执照，其经营范围应涵盖公关服务、广告宣传、舆情监测与分析等相关领域，并具备承担招标项目的能力。</w:t>
      </w:r>
      <w:r>
        <w:rPr>
          <w:rFonts w:hint="eastAsia" w:ascii="宋体" w:hAnsi="宋体" w:cs="宋体"/>
          <w:color w:val="auto"/>
          <w:sz w:val="21"/>
          <w:szCs w:val="21"/>
          <w:lang w:val="en-US" w:eastAsia="zh-CN"/>
        </w:rPr>
        <w:t>特别优秀者可适当放宽条件。</w:t>
      </w:r>
      <w:bookmarkStart w:id="71" w:name="_GoBack"/>
      <w:bookmarkEnd w:id="71"/>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（2）具备履行本项目所需的专业团队和技术能力，</w:t>
      </w:r>
      <w:r>
        <w:rPr>
          <w:rFonts w:hint="eastAsia" w:ascii="宋体" w:hAnsi="宋体" w:cs="宋体"/>
          <w:sz w:val="21"/>
          <w:szCs w:val="21"/>
          <w:lang w:val="en-US" w:eastAsia="zh-CN"/>
        </w:rPr>
        <w:t>投标申请人及相关</w:t>
      </w:r>
      <w:r>
        <w:rPr>
          <w:rFonts w:hint="eastAsia" w:ascii="宋体" w:hAnsi="宋体" w:eastAsia="宋体" w:cs="宋体"/>
          <w:sz w:val="21"/>
          <w:szCs w:val="21"/>
        </w:rPr>
        <w:t>人员具备专业职称资质证明。</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（3）应有良好的财务状况和商业信用，无重大违法违规记录</w:t>
      </w:r>
      <w:r>
        <w:rPr>
          <w:rFonts w:hint="eastAsia" w:ascii="宋体" w:hAnsi="宋体" w:cs="宋体"/>
          <w:sz w:val="21"/>
          <w:szCs w:val="21"/>
          <w:lang w:eastAsia="zh-CN"/>
        </w:rPr>
        <w:t>，</w:t>
      </w:r>
      <w:r>
        <w:rPr>
          <w:rFonts w:hint="eastAsia"/>
          <w:color w:val="auto"/>
          <w:highlight w:val="none"/>
        </w:rPr>
        <w:t>不属于有腐败和欺诈行为的不合格的投标人</w:t>
      </w:r>
      <w:r>
        <w:rPr>
          <w:rFonts w:hint="eastAsia" w:ascii="宋体" w:hAnsi="宋体" w:eastAsia="宋体" w:cs="宋体"/>
          <w:sz w:val="21"/>
          <w:szCs w:val="21"/>
        </w:rPr>
        <w:t>。</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（4）具有开展包括市场调查、媒体实施、舆情监测、危机公关、等内容的整体策划服务能力和经营实绩。</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cs="宋体"/>
          <w:color w:val="auto"/>
          <w:sz w:val="21"/>
          <w:szCs w:val="21"/>
          <w:lang w:val="en-US" w:eastAsia="zh-CN"/>
        </w:rPr>
        <w:t>原则上</w:t>
      </w:r>
      <w:r>
        <w:rPr>
          <w:rFonts w:hint="eastAsia" w:ascii="宋体" w:hAnsi="宋体" w:eastAsia="宋体" w:cs="宋体"/>
          <w:color w:val="auto"/>
          <w:sz w:val="21"/>
          <w:szCs w:val="21"/>
          <w:lang w:val="en-US" w:eastAsia="zh-CN"/>
        </w:rPr>
        <w:t>应具有至少</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个与金融机构（银行优先）开展</w:t>
      </w:r>
      <w:r>
        <w:rPr>
          <w:rFonts w:hint="eastAsia" w:ascii="宋体" w:hAnsi="宋体" w:cs="宋体"/>
          <w:color w:val="auto"/>
          <w:sz w:val="21"/>
          <w:szCs w:val="21"/>
          <w:lang w:val="en-US" w:eastAsia="zh-CN"/>
        </w:rPr>
        <w:t>新媒体运营</w:t>
      </w:r>
      <w:r>
        <w:rPr>
          <w:rFonts w:hint="eastAsia" w:ascii="宋体" w:hAnsi="宋体" w:eastAsia="宋体" w:cs="宋体"/>
          <w:color w:val="auto"/>
          <w:sz w:val="21"/>
          <w:szCs w:val="21"/>
          <w:lang w:val="en-US" w:eastAsia="zh-CN"/>
        </w:rPr>
        <w:t>的成功案例</w:t>
      </w:r>
      <w:r>
        <w:rPr>
          <w:rFonts w:hint="eastAsia" w:ascii="宋体" w:hAnsi="宋体" w:eastAsia="宋体" w:cs="宋体"/>
          <w:color w:val="auto"/>
          <w:sz w:val="21"/>
          <w:szCs w:val="21"/>
        </w:rPr>
        <w:t>。</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）法定代表人为同一个人的两个及两个以上法人，母公司、全资子公司及其控股公司，只能有一家参加投标。</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w:t>
      </w:r>
      <w:r>
        <w:rPr>
          <w:rFonts w:hint="eastAsia" w:ascii="宋体" w:hAnsi="宋体" w:eastAsia="宋体" w:cs="宋体"/>
          <w:sz w:val="21"/>
          <w:szCs w:val="21"/>
        </w:rPr>
        <w:t>不接受联合体投标。</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投标人应具备年检有效期内的营业执照、组织机构代码证、税务登记证复印件具备增值税一般纳税人资格。</w:t>
      </w:r>
    </w:p>
    <w:p>
      <w:pPr>
        <w:keepNext w:val="0"/>
        <w:keepLines w:val="0"/>
        <w:pageBreakBefore w:val="0"/>
        <w:widowControl w:val="0"/>
        <w:kinsoku/>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投标人应遵守《中华人民共和国招标投标法》《中华人民共和国政府采购法》及其相关的中华人民共和国法律和法规。</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2" w:name="_Toc55544808"/>
      <w:r>
        <w:rPr>
          <w:rFonts w:hint="eastAsia"/>
          <w:color w:val="auto"/>
          <w:highlight w:val="none"/>
        </w:rPr>
        <w:t>注意事项</w:t>
      </w:r>
      <w:bookmarkEnd w:id="12"/>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在投标文件评审期间，除投标人被要求对投标文件进行解释外，投标人不得就与招标有关的事项主动与评审委员会以及招标人联系。</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在投标文件评审期间，投标人试图在投标文件审查、解释、比较和评价时对评审委员会施加任何影响或对招标人的评审结果进行影响，都可能导致其投标文件被拒绝。</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投标人不得串通作弊，以不正当的手段妨碍、排挤其他投标人，破坏公平竞争原则。</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获得本招标文件者，应对文件进行保密，不得用作本次招标以外的任何用途。</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招标人向投标人提供的</w:t>
      </w:r>
      <w:r>
        <w:rPr>
          <w:rFonts w:ascii="Arial" w:hAnsi="Arial"/>
          <w:color w:val="auto"/>
          <w:highlight w:val="none"/>
        </w:rPr>
        <w:t>公司介绍、项目背景、项目内容和开展计划等相关资料，</w:t>
      </w:r>
      <w:r>
        <w:rPr>
          <w:rFonts w:hint="eastAsia"/>
          <w:color w:val="auto"/>
          <w:highlight w:val="none"/>
        </w:rPr>
        <w:t>被视为保密资料，仅被用于它所规定的用途，除非得到招标人的同意，不能向任何第三方透露。</w:t>
      </w:r>
      <w:r>
        <w:rPr>
          <w:rFonts w:ascii="Arial" w:hAnsi="Arial"/>
          <w:color w:val="auto"/>
          <w:highlight w:val="none"/>
        </w:rPr>
        <w:t>否则招标人将保留采取</w:t>
      </w:r>
      <w:r>
        <w:rPr>
          <w:rFonts w:hint="eastAsia" w:ascii="Arial" w:hAnsi="Arial"/>
          <w:color w:val="auto"/>
          <w:highlight w:val="none"/>
        </w:rPr>
        <w:t>相应</w:t>
      </w:r>
      <w:r>
        <w:rPr>
          <w:rFonts w:ascii="Arial" w:hAnsi="Arial"/>
          <w:color w:val="auto"/>
          <w:highlight w:val="none"/>
        </w:rPr>
        <w:t>法律措施的权利</w:t>
      </w:r>
      <w:r>
        <w:rPr>
          <w:rFonts w:hint="eastAsia"/>
          <w:color w:val="auto"/>
          <w:highlight w:val="none"/>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投标人利用不当手段，误导其他投标人做出非合理行为，均会导致其投标文件被拒绝。</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3" w:name="_Toc55544809"/>
      <w:r>
        <w:rPr>
          <w:rFonts w:hint="eastAsia"/>
          <w:color w:val="auto"/>
          <w:highlight w:val="none"/>
        </w:rPr>
        <w:t>保证</w:t>
      </w:r>
      <w:bookmarkEnd w:id="13"/>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投标人保证所提交给招标人的资料和数据是真实的、完整的、合法的和有效的，并对此承担相应的法律责任。</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4" w:name="_Toc55544810"/>
      <w:r>
        <w:rPr>
          <w:rFonts w:hint="eastAsia"/>
          <w:color w:val="auto"/>
          <w:highlight w:val="none"/>
        </w:rPr>
        <w:t>相关费用</w:t>
      </w:r>
      <w:bookmarkEnd w:id="14"/>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投标人应承担其编制、提交投标文件以及参加本次招标的所有费用，不论招标的结果如何，招标人在任何情况下均无义务和责任承担这些费用。</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5" w:name="_Toc55544811"/>
      <w:r>
        <w:rPr>
          <w:rFonts w:hint="eastAsia"/>
          <w:color w:val="auto"/>
          <w:highlight w:val="none"/>
        </w:rPr>
        <w:t>其它要求</w:t>
      </w:r>
      <w:bookmarkEnd w:id="15"/>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中标人在项目实施中，我行提供的业务、技术信息和所有相关文档为我行重要保密信息，</w:t>
      </w:r>
      <w:r>
        <w:rPr>
          <w:rFonts w:hint="eastAsia" w:ascii="宋体" w:hAnsi="宋体" w:eastAsia="宋体" w:cs="宋体"/>
          <w:sz w:val="24"/>
          <w:szCs w:val="24"/>
        </w:rPr>
        <w:t>不得向第三方泄露任何关于项目招标人的资料及项目情况。</w:t>
      </w:r>
      <w:r>
        <w:rPr>
          <w:rFonts w:hint="eastAsia"/>
          <w:color w:val="auto"/>
          <w:highlight w:val="none"/>
        </w:rPr>
        <w:t>由中标人导致的信息泄露所造成的损失，由中标人承担。</w:t>
      </w:r>
    </w:p>
    <w:p>
      <w:pPr>
        <w:pStyle w:val="2"/>
        <w:keepNext w:val="0"/>
        <w:keepLines w:val="0"/>
        <w:pageBreakBefore w:val="0"/>
        <w:widowControl w:val="0"/>
        <w:kinsoku/>
        <w:overflowPunct/>
        <w:topLinePunct w:val="0"/>
        <w:bidi w:val="0"/>
        <w:textAlignment w:val="auto"/>
        <w:rPr>
          <w:color w:val="auto"/>
          <w:highlight w:val="none"/>
        </w:rPr>
      </w:pPr>
      <w:bookmarkStart w:id="16" w:name="_Toc55544812"/>
      <w:bookmarkStart w:id="17" w:name="_Toc22757"/>
      <w:r>
        <w:rPr>
          <w:rFonts w:hint="eastAsia"/>
          <w:color w:val="auto"/>
          <w:highlight w:val="none"/>
        </w:rPr>
        <w:t>招标文件</w:t>
      </w:r>
      <w:bookmarkEnd w:id="16"/>
      <w:bookmarkEnd w:id="17"/>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8" w:name="_Toc55544813"/>
      <w:r>
        <w:rPr>
          <w:rFonts w:hint="eastAsia"/>
          <w:color w:val="auto"/>
          <w:highlight w:val="none"/>
        </w:rPr>
        <w:t>招标文件构成</w:t>
      </w:r>
      <w:bookmarkEnd w:id="18"/>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招标文件包括：</w:t>
      </w:r>
    </w:p>
    <w:p>
      <w:pPr>
        <w:keepNext w:val="0"/>
        <w:keepLines w:val="0"/>
        <w:pageBreakBefore w:val="0"/>
        <w:widowControl w:val="0"/>
        <w:kinsoku/>
        <w:overflowPunct/>
        <w:topLinePunct w:val="0"/>
        <w:bidi w:val="0"/>
        <w:spacing w:line="360" w:lineRule="auto"/>
        <w:ind w:left="1077"/>
        <w:textAlignment w:val="auto"/>
        <w:rPr>
          <w:rFonts w:ascii="宋体"/>
          <w:b/>
          <w:color w:val="auto"/>
          <w:highlight w:val="none"/>
        </w:rPr>
      </w:pPr>
      <w:r>
        <w:rPr>
          <w:rFonts w:hint="eastAsia" w:ascii="宋体"/>
          <w:b/>
          <w:color w:val="auto"/>
          <w:highlight w:val="none"/>
        </w:rPr>
        <w:t>第一部分</w:t>
      </w:r>
      <w:r>
        <w:rPr>
          <w:rFonts w:hint="eastAsia" w:ascii="宋体" w:hAnsi="宋体"/>
          <w:b/>
          <w:color w:val="auto"/>
          <w:highlight w:val="none"/>
        </w:rPr>
        <w:t>投标人须知</w:t>
      </w:r>
    </w:p>
    <w:p>
      <w:pPr>
        <w:keepNext w:val="0"/>
        <w:keepLines w:val="0"/>
        <w:pageBreakBefore w:val="0"/>
        <w:widowControl w:val="0"/>
        <w:kinsoku/>
        <w:overflowPunct/>
        <w:topLinePunct w:val="0"/>
        <w:bidi w:val="0"/>
        <w:spacing w:line="360" w:lineRule="auto"/>
        <w:ind w:left="1077"/>
        <w:textAlignment w:val="auto"/>
        <w:rPr>
          <w:rFonts w:ascii="宋体"/>
          <w:b/>
          <w:color w:val="auto"/>
          <w:highlight w:val="none"/>
        </w:rPr>
      </w:pPr>
      <w:r>
        <w:rPr>
          <w:rFonts w:hint="eastAsia" w:ascii="宋体"/>
          <w:b/>
          <w:color w:val="auto"/>
          <w:highlight w:val="none"/>
        </w:rPr>
        <w:t>第二部分</w:t>
      </w:r>
      <w:r>
        <w:rPr>
          <w:rFonts w:hint="eastAsia" w:ascii="宋体"/>
          <w:b/>
          <w:color w:val="auto"/>
          <w:highlight w:val="none"/>
          <w:lang w:val="en-US" w:eastAsia="zh-CN"/>
        </w:rPr>
        <w:t>项目</w:t>
      </w:r>
      <w:r>
        <w:rPr>
          <w:rFonts w:hint="eastAsia" w:ascii="宋体"/>
          <w:b/>
          <w:color w:val="auto"/>
          <w:highlight w:val="none"/>
        </w:rPr>
        <w:t>需求说明书</w:t>
      </w:r>
    </w:p>
    <w:p>
      <w:pPr>
        <w:keepNext w:val="0"/>
        <w:keepLines w:val="0"/>
        <w:pageBreakBefore w:val="0"/>
        <w:widowControl w:val="0"/>
        <w:kinsoku/>
        <w:overflowPunct/>
        <w:topLinePunct w:val="0"/>
        <w:bidi w:val="0"/>
        <w:spacing w:line="360" w:lineRule="auto"/>
        <w:ind w:left="1077"/>
        <w:textAlignment w:val="auto"/>
        <w:rPr>
          <w:rFonts w:ascii="宋体"/>
          <w:b/>
          <w:color w:val="auto"/>
          <w:highlight w:val="none"/>
        </w:rPr>
      </w:pPr>
      <w:r>
        <w:rPr>
          <w:rFonts w:hint="eastAsia" w:ascii="宋体"/>
          <w:b/>
          <w:color w:val="auto"/>
          <w:highlight w:val="none"/>
        </w:rPr>
        <w:t>第三部分投标文件格式</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投标人应认真阅读招标文件中所有的事项、格式、条款</w:t>
      </w:r>
      <w:r>
        <w:rPr>
          <w:rFonts w:hint="eastAsia"/>
          <w:color w:val="auto"/>
          <w:highlight w:val="none"/>
          <w:lang w:val="en-US" w:eastAsia="zh-CN"/>
        </w:rPr>
        <w:t>和</w:t>
      </w:r>
      <w:r>
        <w:rPr>
          <w:rFonts w:hint="eastAsia"/>
          <w:color w:val="auto"/>
          <w:highlight w:val="none"/>
        </w:rPr>
        <w:t>规范等。投标人没有按照招标文件要求提交全部资料，或者投标文件没有对招标文件各方面要求作出实质性响应，将有可能导致其投标文件被拒绝。</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19" w:name="_Toc55544814"/>
      <w:r>
        <w:rPr>
          <w:rFonts w:hint="eastAsia"/>
          <w:color w:val="auto"/>
          <w:highlight w:val="none"/>
        </w:rPr>
        <w:t>招标文件的解释与修改</w:t>
      </w:r>
      <w:bookmarkEnd w:id="19"/>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在提交投标文件之前，招标人以书面形式对任何要求对招标文件进行澄清的，投标人应予以逐条答复，并将该书面答复发送给招标文件的每个收受人。</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在提交投标文件之前，无论出于何种原因，招标人可随时在解答投标人提出的需澄清的问题时，向招标文件的所有收受人发送对招标文件的修改文件。</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招标文件的澄清和修改文件将以书面形式通知招标文件的所有收受人，该澄清和修改文件也是招标文件的组成部份，并对投标人具有约束力。</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为使投标人编写投标文件时有充分时间对招标文件的修改部分进行研究，招标人可酌情推迟递交投标文件截止时间，并将推迟决定以电话/传真形式通知所有招标文件的收受人。</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投标人在收到招标人发给的任何澄清和修改文件时，都应在收到后立即以书面或传真形式向招标人确认。</w:t>
      </w:r>
    </w:p>
    <w:p>
      <w:pPr>
        <w:pStyle w:val="2"/>
        <w:keepNext w:val="0"/>
        <w:keepLines w:val="0"/>
        <w:pageBreakBefore w:val="0"/>
        <w:widowControl w:val="0"/>
        <w:kinsoku/>
        <w:overflowPunct/>
        <w:topLinePunct w:val="0"/>
        <w:bidi w:val="0"/>
        <w:textAlignment w:val="auto"/>
        <w:rPr>
          <w:color w:val="auto"/>
          <w:highlight w:val="none"/>
        </w:rPr>
      </w:pPr>
      <w:bookmarkStart w:id="20" w:name="_Toc55544815"/>
      <w:bookmarkStart w:id="21" w:name="_Toc3990"/>
      <w:r>
        <w:rPr>
          <w:rFonts w:hint="eastAsia"/>
          <w:color w:val="auto"/>
          <w:highlight w:val="none"/>
        </w:rPr>
        <w:t>投标文件的编制</w:t>
      </w:r>
      <w:bookmarkEnd w:id="20"/>
      <w:bookmarkEnd w:id="21"/>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22" w:name="_Toc55544816"/>
      <w:r>
        <w:rPr>
          <w:rFonts w:hint="eastAsia"/>
          <w:color w:val="auto"/>
          <w:highlight w:val="none"/>
        </w:rPr>
        <w:t>投标语言及计量</w:t>
      </w:r>
      <w:bookmarkEnd w:id="22"/>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w:t>
      </w:r>
      <w:r>
        <w:rPr>
          <w:color w:val="auto"/>
          <w:highlight w:val="none"/>
        </w:rPr>
        <w:t>错误或</w:t>
      </w:r>
      <w:r>
        <w:rPr>
          <w:rFonts w:hint="eastAsia"/>
          <w:color w:val="auto"/>
          <w:highlight w:val="none"/>
        </w:rPr>
        <w:t>因投标人与招标人对回复文件中文版本的理解存在</w:t>
      </w:r>
      <w:r>
        <w:rPr>
          <w:color w:val="auto"/>
          <w:highlight w:val="none"/>
        </w:rPr>
        <w:t>差异而导致的机会丧失或其他问题，自行承担风险。</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投标人提交的投标文件中涉及简称或缩写的须注明其中文全称和中文含义。</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除非在招标文件中另有规定，投标人在投标文件中及其与招标人的所有往来文件中的计量单位均应采用中华人民共和国法定计量单位。</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 xml:space="preserve">投标人提供的任何资料中所提及的业务和技术用语，应符合国内银行业务和技术监管部门的通用解释，有差异的应特别注明。 </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23" w:name="_Toc55544817"/>
      <w:r>
        <w:rPr>
          <w:rFonts w:hint="eastAsia"/>
          <w:color w:val="auto"/>
          <w:highlight w:val="none"/>
        </w:rPr>
        <w:t>投标文件的式样和签署</w:t>
      </w:r>
      <w:bookmarkEnd w:id="23"/>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投标人应准备投标文件</w:t>
      </w:r>
      <w:r>
        <w:rPr>
          <w:rFonts w:hint="eastAsia"/>
          <w:b/>
          <w:i/>
          <w:color w:val="auto"/>
          <w:highlight w:val="none"/>
          <w:u w:val="single"/>
        </w:rPr>
        <w:t>1份正本和4份副本</w:t>
      </w:r>
      <w:r>
        <w:rPr>
          <w:rFonts w:hint="eastAsia"/>
          <w:color w:val="auto"/>
          <w:highlight w:val="none"/>
        </w:rPr>
        <w:t>，投标文件须清楚地标明“正本”和“副本”字样。如正本和副本不符，以正本为准。</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投标人应同时提交与投标文件正本内容相同的电子文件一套（以U盘形式，投标文件采用WORD格式，报价文件为Excl格式），如电子文件与正本书面文件不符，以正本书面文件为准。</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投标文件正本须用不褪色墨水书写或打印，由投标人的法定代表人或经其正式授权的代表签署。被授权代表须将以书面形式出具的《法定代表人授权书》</w:t>
      </w:r>
      <w:r>
        <w:rPr>
          <w:rFonts w:hint="eastAsia"/>
          <w:b/>
          <w:color w:val="auto"/>
          <w:highlight w:val="none"/>
        </w:rPr>
        <w:t>（原件）</w:t>
      </w:r>
      <w:r>
        <w:rPr>
          <w:rFonts w:hint="eastAsia"/>
          <w:color w:val="auto"/>
          <w:highlight w:val="none"/>
        </w:rPr>
        <w:t>附在投标文件中。</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投标文件的任何行间插字、涂改和增删，必须由投标人在旁边加盖公章才有效。</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在招标文件中已明示需盖章及签名之处，投标文件正本均须由投标人加盖投标人公章，并经投标人法定代表人或其授权代表签名或盖章。</w:t>
      </w:r>
      <w:r>
        <w:rPr>
          <w:rFonts w:hint="eastAsia"/>
          <w:b/>
          <w:color w:val="auto"/>
          <w:highlight w:val="none"/>
        </w:rPr>
        <w:t>投标文件</w:t>
      </w:r>
      <w:r>
        <w:rPr>
          <w:rFonts w:hint="eastAsia" w:hAnsi="宋体"/>
          <w:b/>
          <w:color w:val="auto"/>
          <w:highlight w:val="none"/>
        </w:rPr>
        <w:t>正本须加盖投标人公章骑缝章</w:t>
      </w:r>
      <w:r>
        <w:rPr>
          <w:rFonts w:hint="eastAsia" w:hAnsi="宋体"/>
          <w:color w:val="auto"/>
          <w:highlight w:val="none"/>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投标文件副本可采用投标文件的正本复印而成。</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传真或电传的投标文件将被拒绝。</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由于投标文件正本、副本和电子文件相互之间任何不符而导致的所有后果，由投标人自行承担。</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24" w:name="_Toc55544818"/>
      <w:r>
        <w:rPr>
          <w:rFonts w:hint="eastAsia"/>
          <w:color w:val="auto"/>
          <w:highlight w:val="none"/>
        </w:rPr>
        <w:t>投标文件的构成</w:t>
      </w:r>
      <w:bookmarkEnd w:id="24"/>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投标人应认真审阅本招标文件，并按相关规定，提交完整的投标文件。本次招标要求投标方提供服务方案、实施、培训、售后服务等一揽子解决方案及报价。</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投标文件的内容包含如下：</w:t>
      </w:r>
    </w:p>
    <w:p>
      <w:pPr>
        <w:keepNext w:val="0"/>
        <w:keepLines w:val="0"/>
        <w:pageBreakBefore w:val="0"/>
        <w:widowControl w:val="0"/>
        <w:numPr>
          <w:ilvl w:val="0"/>
          <w:numId w:val="2"/>
        </w:numPr>
        <w:kinsoku/>
        <w:overflowPunct/>
        <w:topLinePunct w:val="0"/>
        <w:bidi w:val="0"/>
        <w:spacing w:line="360" w:lineRule="auto"/>
        <w:jc w:val="left"/>
        <w:textAlignment w:val="auto"/>
        <w:rPr>
          <w:color w:val="auto"/>
          <w:highlight w:val="none"/>
        </w:rPr>
      </w:pPr>
      <w:r>
        <w:rPr>
          <w:rFonts w:hint="eastAsia"/>
          <w:color w:val="auto"/>
          <w:highlight w:val="none"/>
        </w:rPr>
        <w:t>投标函（格式见第三部分：投标文件格式）；</w:t>
      </w:r>
    </w:p>
    <w:p>
      <w:pPr>
        <w:keepNext w:val="0"/>
        <w:keepLines w:val="0"/>
        <w:pageBreakBefore w:val="0"/>
        <w:widowControl w:val="0"/>
        <w:numPr>
          <w:ilvl w:val="0"/>
          <w:numId w:val="2"/>
        </w:numPr>
        <w:kinsoku/>
        <w:overflowPunct/>
        <w:topLinePunct w:val="0"/>
        <w:bidi w:val="0"/>
        <w:spacing w:line="360" w:lineRule="auto"/>
        <w:jc w:val="left"/>
        <w:textAlignment w:val="auto"/>
        <w:rPr>
          <w:color w:val="auto"/>
          <w:highlight w:val="none"/>
        </w:rPr>
      </w:pPr>
      <w:r>
        <w:rPr>
          <w:rFonts w:hint="eastAsia"/>
          <w:color w:val="auto"/>
          <w:highlight w:val="none"/>
        </w:rPr>
        <w:t>投标报价表（格式见第三部分：投标文件格式）；</w:t>
      </w:r>
    </w:p>
    <w:p>
      <w:pPr>
        <w:keepNext w:val="0"/>
        <w:keepLines w:val="0"/>
        <w:pageBreakBefore w:val="0"/>
        <w:widowControl w:val="0"/>
        <w:numPr>
          <w:ilvl w:val="0"/>
          <w:numId w:val="2"/>
        </w:numPr>
        <w:kinsoku/>
        <w:overflowPunct/>
        <w:topLinePunct w:val="0"/>
        <w:bidi w:val="0"/>
        <w:spacing w:line="360" w:lineRule="auto"/>
        <w:jc w:val="left"/>
        <w:textAlignment w:val="auto"/>
        <w:rPr>
          <w:color w:val="auto"/>
          <w:highlight w:val="none"/>
        </w:rPr>
      </w:pPr>
      <w:r>
        <w:rPr>
          <w:rFonts w:hint="eastAsia"/>
          <w:color w:val="auto"/>
          <w:highlight w:val="none"/>
        </w:rPr>
        <w:t>法定代表人授权委托书；</w:t>
      </w:r>
    </w:p>
    <w:p>
      <w:pPr>
        <w:keepNext w:val="0"/>
        <w:keepLines w:val="0"/>
        <w:pageBreakBefore w:val="0"/>
        <w:widowControl w:val="0"/>
        <w:numPr>
          <w:ilvl w:val="0"/>
          <w:numId w:val="2"/>
        </w:numPr>
        <w:kinsoku/>
        <w:overflowPunct/>
        <w:topLinePunct w:val="0"/>
        <w:bidi w:val="0"/>
        <w:spacing w:line="360" w:lineRule="auto"/>
        <w:jc w:val="left"/>
        <w:textAlignment w:val="auto"/>
        <w:rPr>
          <w:rFonts w:hint="eastAsia"/>
          <w:color w:val="auto"/>
          <w:highlight w:val="none"/>
        </w:rPr>
      </w:pPr>
      <w:r>
        <w:rPr>
          <w:rFonts w:hint="eastAsia"/>
          <w:color w:val="auto"/>
          <w:highlight w:val="none"/>
        </w:rPr>
        <w:t>公司介绍：包括但不限于公司注册资本、业务规模、组织架构、财务状况、技术队伍及实施服务能力等，以及证明公司综合实力、技术力量、开发经验、信誉和资质的材料复印件；</w:t>
      </w:r>
      <w:r>
        <w:rPr>
          <w:rFonts w:hint="eastAsia"/>
          <w:color w:val="auto"/>
          <w:highlight w:val="none"/>
          <w:lang w:val="en-US" w:eastAsia="zh-CN"/>
        </w:rPr>
        <w:t>近三年来与金融机构（银行优先）合作开展舆情监测（公关工作）的案例资料等；</w:t>
      </w:r>
    </w:p>
    <w:p>
      <w:pPr>
        <w:keepNext w:val="0"/>
        <w:keepLines w:val="0"/>
        <w:pageBreakBefore w:val="0"/>
        <w:widowControl w:val="0"/>
        <w:numPr>
          <w:ilvl w:val="0"/>
          <w:numId w:val="2"/>
        </w:numPr>
        <w:kinsoku/>
        <w:overflowPunct/>
        <w:topLinePunct w:val="0"/>
        <w:bidi w:val="0"/>
        <w:spacing w:line="360" w:lineRule="auto"/>
        <w:jc w:val="left"/>
        <w:textAlignment w:val="auto"/>
        <w:rPr>
          <w:color w:val="auto"/>
          <w:highlight w:val="none"/>
        </w:rPr>
      </w:pPr>
      <w:r>
        <w:rPr>
          <w:rFonts w:hint="eastAsia"/>
          <w:color w:val="auto"/>
          <w:highlight w:val="none"/>
        </w:rPr>
        <w:t>投标人应递交的有关证明文件；</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重要提示</w:t>
      </w:r>
    </w:p>
    <w:p>
      <w:pPr>
        <w:keepNext w:val="0"/>
        <w:keepLines w:val="0"/>
        <w:pageBreakBefore w:val="0"/>
        <w:widowControl w:val="0"/>
        <w:numPr>
          <w:ilvl w:val="0"/>
          <w:numId w:val="3"/>
        </w:numPr>
        <w:kinsoku/>
        <w:overflowPunct/>
        <w:topLinePunct w:val="0"/>
        <w:bidi w:val="0"/>
        <w:spacing w:line="360" w:lineRule="auto"/>
        <w:jc w:val="left"/>
        <w:textAlignment w:val="auto"/>
        <w:rPr>
          <w:color w:val="auto"/>
          <w:highlight w:val="none"/>
        </w:rPr>
      </w:pPr>
      <w:r>
        <w:rPr>
          <w:rFonts w:hint="eastAsia"/>
          <w:color w:val="auto"/>
          <w:highlight w:val="none"/>
        </w:rPr>
        <w:t>投标文件内容应严格按照招标文件要求进行编排；</w:t>
      </w:r>
    </w:p>
    <w:p>
      <w:pPr>
        <w:keepNext w:val="0"/>
        <w:keepLines w:val="0"/>
        <w:pageBreakBefore w:val="0"/>
        <w:widowControl w:val="0"/>
        <w:numPr>
          <w:ilvl w:val="0"/>
          <w:numId w:val="3"/>
        </w:numPr>
        <w:kinsoku/>
        <w:overflowPunct/>
        <w:topLinePunct w:val="0"/>
        <w:bidi w:val="0"/>
        <w:spacing w:line="360" w:lineRule="auto"/>
        <w:jc w:val="left"/>
        <w:textAlignment w:val="auto"/>
        <w:rPr>
          <w:color w:val="auto"/>
          <w:highlight w:val="none"/>
        </w:rPr>
      </w:pPr>
      <w:r>
        <w:rPr>
          <w:rFonts w:hint="eastAsia"/>
          <w:color w:val="auto"/>
          <w:highlight w:val="none"/>
        </w:rPr>
        <w:t>投标文件应按照招标文件的要求如实响应：</w:t>
      </w:r>
    </w:p>
    <w:p>
      <w:pPr>
        <w:keepNext w:val="0"/>
        <w:keepLines w:val="0"/>
        <w:pageBreakBefore w:val="0"/>
        <w:widowControl w:val="0"/>
        <w:numPr>
          <w:ilvl w:val="0"/>
          <w:numId w:val="3"/>
        </w:numPr>
        <w:kinsoku/>
        <w:overflowPunct/>
        <w:topLinePunct w:val="0"/>
        <w:bidi w:val="0"/>
        <w:spacing w:line="360" w:lineRule="auto"/>
        <w:jc w:val="left"/>
        <w:textAlignment w:val="auto"/>
        <w:rPr>
          <w:color w:val="auto"/>
          <w:highlight w:val="none"/>
        </w:rPr>
      </w:pPr>
      <w:r>
        <w:rPr>
          <w:rFonts w:hint="eastAsia"/>
          <w:color w:val="auto"/>
          <w:highlight w:val="none"/>
        </w:rPr>
        <w:t>在评审过程中，招标人如发现投标人采取不正当手段报送虚假材料，招标人有权取消投标人的投标资格；招标结束后，如发现投标人存在报送虚假投标材料的情形，招标人有权拒签或终止合同，并且招标人有权按照不低于已付合同款项两倍的赔付额向投标人索赔；</w:t>
      </w:r>
    </w:p>
    <w:p>
      <w:pPr>
        <w:keepNext w:val="0"/>
        <w:keepLines w:val="0"/>
        <w:pageBreakBefore w:val="0"/>
        <w:widowControl w:val="0"/>
        <w:numPr>
          <w:ilvl w:val="0"/>
          <w:numId w:val="3"/>
        </w:numPr>
        <w:kinsoku/>
        <w:overflowPunct/>
        <w:topLinePunct w:val="0"/>
        <w:bidi w:val="0"/>
        <w:spacing w:line="360" w:lineRule="auto"/>
        <w:jc w:val="left"/>
        <w:textAlignment w:val="auto"/>
        <w:rPr>
          <w:color w:val="auto"/>
          <w:highlight w:val="none"/>
        </w:rPr>
      </w:pPr>
      <w:r>
        <w:rPr>
          <w:rFonts w:hint="eastAsia"/>
          <w:color w:val="auto"/>
          <w:highlight w:val="none"/>
        </w:rPr>
        <w:t>投标文件不得随意涂改、加页或减页。</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25" w:name="_Toc55544819"/>
      <w:r>
        <w:rPr>
          <w:rFonts w:hint="eastAsia"/>
          <w:color w:val="auto"/>
          <w:highlight w:val="none"/>
        </w:rPr>
        <w:t>投标报价</w:t>
      </w:r>
      <w:bookmarkEnd w:id="25"/>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投标人应按照投标报价表格式要求报价</w:t>
      </w:r>
      <w:r>
        <w:rPr>
          <w:rFonts w:hint="eastAsia"/>
          <w:color w:val="auto"/>
          <w:highlight w:val="none"/>
          <w:lang w:eastAsia="zh-CN"/>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投标报价指各种费用和服务、税金等所有成本费用及合理利润的总和</w:t>
      </w:r>
      <w:r>
        <w:rPr>
          <w:rFonts w:hint="eastAsia"/>
          <w:color w:val="auto"/>
          <w:highlight w:val="none"/>
          <w:lang w:eastAsia="zh-CN"/>
        </w:rPr>
        <w:t>；</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投标报价作为评标的依据之一，招标人不保证最低报价中标。</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26" w:name="_Toc55544820"/>
      <w:r>
        <w:rPr>
          <w:rFonts w:hint="eastAsia"/>
          <w:color w:val="auto"/>
          <w:highlight w:val="none"/>
        </w:rPr>
        <w:t>报价货币</w:t>
      </w:r>
      <w:bookmarkEnd w:id="26"/>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投标人提供的产品和服务在报价时必须用人民币。</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27" w:name="_Toc55544821"/>
      <w:r>
        <w:rPr>
          <w:rFonts w:hint="eastAsia"/>
          <w:color w:val="auto"/>
          <w:highlight w:val="none"/>
        </w:rPr>
        <w:t>投标人应递交的有关证明文件</w:t>
      </w:r>
      <w:bookmarkEnd w:id="27"/>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投标人应提交证明其有资格和能力履行合同的文件，并作为其投标文件的一部份。</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投标人须提交，包括但不限于以下证明文件：</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投标人的资格声明；</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法定代表人授权委托书；</w:t>
      </w:r>
    </w:p>
    <w:p>
      <w:pPr>
        <w:keepNext w:val="0"/>
        <w:keepLines w:val="0"/>
        <w:pageBreakBefore w:val="0"/>
        <w:widowControl w:val="0"/>
        <w:numPr>
          <w:ilvl w:val="0"/>
          <w:numId w:val="4"/>
        </w:numPr>
        <w:kinsoku/>
        <w:overflowPunct/>
        <w:topLinePunct w:val="0"/>
        <w:bidi w:val="0"/>
        <w:spacing w:line="360" w:lineRule="auto"/>
        <w:textAlignment w:val="auto"/>
        <w:rPr>
          <w:rFonts w:ascii="宋体" w:hAnsi="宋体"/>
          <w:color w:val="auto"/>
          <w:highlight w:val="none"/>
        </w:rPr>
      </w:pPr>
      <w:r>
        <w:rPr>
          <w:rFonts w:hint="eastAsia" w:ascii="宋体" w:hAnsi="宋体"/>
          <w:color w:val="auto"/>
          <w:highlight w:val="none"/>
        </w:rPr>
        <w:t>授权代理人身份证复印件（正、反面）及公司法定代表人身份证复印件（正、反面）；</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投标人营业执照</w:t>
      </w:r>
      <w:r>
        <w:rPr>
          <w:rFonts w:hint="eastAsia" w:ascii="宋体" w:hAnsi="宋体"/>
          <w:color w:val="auto"/>
          <w:highlight w:val="none"/>
        </w:rPr>
        <w:t>（投标书中附复印件，加盖报价人鲜章；</w:t>
      </w:r>
      <w:r>
        <w:rPr>
          <w:rFonts w:hint="eastAsia" w:ascii="宋体" w:hAnsi="宋体"/>
          <w:b/>
          <w:i/>
          <w:color w:val="auto"/>
          <w:highlight w:val="none"/>
          <w:u w:val="single"/>
        </w:rPr>
        <w:t>开标时带原件备审</w:t>
      </w:r>
      <w:r>
        <w:rPr>
          <w:rFonts w:hint="eastAsia" w:ascii="宋体" w:hAnsi="宋体"/>
          <w:color w:val="auto"/>
          <w:highlight w:val="none"/>
        </w:rPr>
        <w:t>）</w:t>
      </w:r>
      <w:r>
        <w:rPr>
          <w:rFonts w:hint="eastAsia"/>
          <w:color w:val="auto"/>
          <w:highlight w:val="none"/>
        </w:rPr>
        <w:t>；</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投标人组织机构代码证</w:t>
      </w:r>
      <w:r>
        <w:rPr>
          <w:rFonts w:hint="eastAsia" w:ascii="宋体" w:hAnsi="宋体"/>
          <w:color w:val="auto"/>
          <w:highlight w:val="none"/>
        </w:rPr>
        <w:t>（投标书中附复印件，加盖报价人鲜章；</w:t>
      </w:r>
      <w:r>
        <w:rPr>
          <w:rFonts w:hint="eastAsia" w:ascii="宋体" w:hAnsi="宋体"/>
          <w:b/>
          <w:i/>
          <w:color w:val="auto"/>
          <w:highlight w:val="none"/>
          <w:u w:val="single"/>
        </w:rPr>
        <w:t>开标时带原件备审</w:t>
      </w:r>
      <w:r>
        <w:rPr>
          <w:rFonts w:hint="eastAsia" w:ascii="宋体" w:hAnsi="宋体"/>
          <w:color w:val="auto"/>
          <w:highlight w:val="none"/>
        </w:rPr>
        <w:t>）</w:t>
      </w:r>
      <w:r>
        <w:rPr>
          <w:rFonts w:hint="eastAsia"/>
          <w:color w:val="auto"/>
          <w:highlight w:val="none"/>
        </w:rPr>
        <w:t>；</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投标人税务登记证</w:t>
      </w:r>
      <w:r>
        <w:rPr>
          <w:rFonts w:hint="eastAsia" w:ascii="宋体" w:hAnsi="宋体"/>
          <w:color w:val="auto"/>
          <w:highlight w:val="none"/>
        </w:rPr>
        <w:t>（投标书中附复印件，加盖报价人鲜章；</w:t>
      </w:r>
      <w:r>
        <w:rPr>
          <w:rFonts w:hint="eastAsia" w:ascii="宋体" w:hAnsi="宋体"/>
          <w:b/>
          <w:i/>
          <w:color w:val="auto"/>
          <w:highlight w:val="none"/>
          <w:u w:val="single"/>
        </w:rPr>
        <w:t>开标时带原件备审</w:t>
      </w:r>
      <w:r>
        <w:rPr>
          <w:rFonts w:hint="eastAsia" w:ascii="宋体" w:hAnsi="宋体"/>
          <w:color w:val="auto"/>
          <w:highlight w:val="none"/>
        </w:rPr>
        <w:t>）</w:t>
      </w:r>
      <w:r>
        <w:rPr>
          <w:rFonts w:hint="eastAsia"/>
          <w:color w:val="auto"/>
          <w:highlight w:val="none"/>
        </w:rPr>
        <w:t>；</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类似项目金融行业案例证明材料（复印件，加盖报价人鲜章）；</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lang w:val="en-US" w:eastAsia="zh-CN"/>
        </w:rPr>
        <w:t>商务资格审查文件</w:t>
      </w:r>
      <w:r>
        <w:rPr>
          <w:rFonts w:hint="eastAsia"/>
          <w:color w:val="auto"/>
          <w:highlight w:val="none"/>
        </w:rPr>
        <w:t>（格式见第三部分：投标文件格式）；</w:t>
      </w:r>
    </w:p>
    <w:p>
      <w:pPr>
        <w:keepNext w:val="0"/>
        <w:keepLines w:val="0"/>
        <w:pageBreakBefore w:val="0"/>
        <w:widowControl w:val="0"/>
        <w:numPr>
          <w:ilvl w:val="0"/>
          <w:numId w:val="4"/>
        </w:numPr>
        <w:kinsoku/>
        <w:overflowPunct/>
        <w:topLinePunct w:val="0"/>
        <w:bidi w:val="0"/>
        <w:spacing w:line="360" w:lineRule="auto"/>
        <w:jc w:val="left"/>
        <w:textAlignment w:val="auto"/>
        <w:rPr>
          <w:color w:val="auto"/>
          <w:highlight w:val="none"/>
        </w:rPr>
      </w:pPr>
      <w:r>
        <w:rPr>
          <w:rFonts w:hint="eastAsia"/>
          <w:color w:val="auto"/>
          <w:highlight w:val="none"/>
        </w:rPr>
        <w:t>公司认为需要提供的其他文件及资料。</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按国家法律法规及相关办法规定的从事此类项目的所需具备的一切资质，投标人都应具有，否则将视为无效投标。</w:t>
      </w:r>
    </w:p>
    <w:p>
      <w:pPr>
        <w:pStyle w:val="2"/>
        <w:keepNext w:val="0"/>
        <w:keepLines w:val="0"/>
        <w:pageBreakBefore w:val="0"/>
        <w:widowControl w:val="0"/>
        <w:kinsoku/>
        <w:overflowPunct/>
        <w:topLinePunct w:val="0"/>
        <w:bidi w:val="0"/>
        <w:textAlignment w:val="auto"/>
        <w:rPr>
          <w:color w:val="auto"/>
          <w:highlight w:val="none"/>
        </w:rPr>
      </w:pPr>
      <w:bookmarkStart w:id="28" w:name="_Toc29303"/>
      <w:bookmarkStart w:id="29" w:name="_Toc55544822"/>
      <w:r>
        <w:rPr>
          <w:rFonts w:hint="eastAsia"/>
          <w:color w:val="auto"/>
          <w:highlight w:val="none"/>
        </w:rPr>
        <w:t>投标文件的递交</w:t>
      </w:r>
      <w:bookmarkEnd w:id="28"/>
      <w:bookmarkEnd w:id="29"/>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30" w:name="_Toc55544823"/>
      <w:r>
        <w:rPr>
          <w:rFonts w:hint="eastAsia"/>
          <w:color w:val="auto"/>
          <w:highlight w:val="none"/>
        </w:rPr>
        <w:t>投标文件的密封和标记</w:t>
      </w:r>
      <w:bookmarkEnd w:id="30"/>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投标人应将投标文件正本和所有的副本分开密封装在单独的封套中，且在封套上标明“正本”、“副本”字样。</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封套均应按以下要求标记：</w:t>
      </w:r>
    </w:p>
    <w:p>
      <w:pPr>
        <w:keepNext w:val="0"/>
        <w:keepLines w:val="0"/>
        <w:pageBreakBefore w:val="0"/>
        <w:widowControl w:val="0"/>
        <w:kinsoku/>
        <w:overflowPunct/>
        <w:topLinePunct w:val="0"/>
        <w:bidi w:val="0"/>
        <w:spacing w:line="360" w:lineRule="auto"/>
        <w:ind w:firstLine="735" w:firstLineChars="350"/>
        <w:textAlignment w:val="auto"/>
        <w:rPr>
          <w:color w:val="auto"/>
          <w:highlight w:val="none"/>
        </w:rPr>
      </w:pPr>
      <w:r>
        <w:rPr>
          <w:rFonts w:hint="eastAsia"/>
          <w:color w:val="auto"/>
          <w:highlight w:val="none"/>
        </w:rPr>
        <w:t>递交：</w:t>
      </w:r>
      <w:r>
        <w:rPr>
          <w:color w:val="auto"/>
          <w:highlight w:val="none"/>
        </w:rPr>
        <w:t>四川天府银行</w:t>
      </w:r>
    </w:p>
    <w:p>
      <w:pPr>
        <w:keepNext w:val="0"/>
        <w:keepLines w:val="0"/>
        <w:pageBreakBefore w:val="0"/>
        <w:widowControl w:val="0"/>
        <w:kinsoku/>
        <w:overflowPunct/>
        <w:topLinePunct w:val="0"/>
        <w:bidi w:val="0"/>
        <w:spacing w:line="360" w:lineRule="auto"/>
        <w:ind w:firstLine="735" w:firstLineChars="350"/>
        <w:textAlignment w:val="auto"/>
        <w:rPr>
          <w:rFonts w:hint="eastAsia" w:ascii="Arial" w:hAnsi="Arial" w:eastAsia="宋体" w:cs="Times New Roman"/>
          <w:b/>
          <w:color w:val="auto"/>
          <w:highlight w:val="none"/>
          <w:u w:val="single"/>
          <w:lang w:eastAsia="zh-CN"/>
        </w:rPr>
      </w:pPr>
      <w:r>
        <w:rPr>
          <w:rFonts w:hint="eastAsia"/>
          <w:color w:val="auto"/>
          <w:highlight w:val="none"/>
        </w:rPr>
        <w:t>投标项目：</w:t>
      </w:r>
      <w:r>
        <w:rPr>
          <w:rFonts w:hint="eastAsia" w:ascii="Arial" w:hAnsi="Arial"/>
          <w:b/>
          <w:color w:val="auto"/>
          <w:highlight w:val="none"/>
          <w:u w:val="single"/>
          <w:lang w:eastAsia="zh-CN"/>
        </w:rPr>
        <w:t>四川天府银行</w:t>
      </w:r>
      <w:r>
        <w:rPr>
          <w:rFonts w:hint="eastAsia" w:ascii="Arial" w:hAnsi="Arial"/>
          <w:b/>
          <w:color w:val="auto"/>
          <w:highlight w:val="none"/>
          <w:u w:val="single"/>
          <w:lang w:val="en-US" w:eastAsia="zh-CN"/>
        </w:rPr>
        <w:t>舆情监测与处置服务</w:t>
      </w:r>
      <w:r>
        <w:rPr>
          <w:rFonts w:hint="eastAsia" w:ascii="Arial" w:hAnsi="Arial"/>
          <w:b/>
          <w:color w:val="auto"/>
          <w:highlight w:val="none"/>
          <w:u w:val="single"/>
          <w:lang w:eastAsia="zh-CN"/>
        </w:rPr>
        <w:t>项目</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 xml:space="preserve">封套上均应写明投标人全称、地址、联系人和联系电话。 </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将下列内容（从投标文件正本中复印）单独密封入信封，再将其封装于投标文件正本封套内：</w:t>
      </w:r>
    </w:p>
    <w:p>
      <w:pPr>
        <w:keepNext w:val="0"/>
        <w:keepLines w:val="0"/>
        <w:pageBreakBefore w:val="0"/>
        <w:widowControl w:val="0"/>
        <w:numPr>
          <w:ilvl w:val="0"/>
          <w:numId w:val="5"/>
        </w:numPr>
        <w:kinsoku/>
        <w:overflowPunct/>
        <w:topLinePunct w:val="0"/>
        <w:bidi w:val="0"/>
        <w:spacing w:line="360" w:lineRule="auto"/>
        <w:textAlignment w:val="auto"/>
        <w:rPr>
          <w:color w:val="auto"/>
          <w:highlight w:val="none"/>
        </w:rPr>
      </w:pPr>
      <w:r>
        <w:rPr>
          <w:rFonts w:hint="eastAsia"/>
          <w:color w:val="auto"/>
          <w:highlight w:val="none"/>
        </w:rPr>
        <w:t>投标函；</w:t>
      </w:r>
    </w:p>
    <w:p>
      <w:pPr>
        <w:keepNext w:val="0"/>
        <w:keepLines w:val="0"/>
        <w:pageBreakBefore w:val="0"/>
        <w:widowControl w:val="0"/>
        <w:numPr>
          <w:ilvl w:val="0"/>
          <w:numId w:val="5"/>
        </w:numPr>
        <w:kinsoku/>
        <w:overflowPunct/>
        <w:topLinePunct w:val="0"/>
        <w:bidi w:val="0"/>
        <w:spacing w:line="360" w:lineRule="auto"/>
        <w:textAlignment w:val="auto"/>
        <w:rPr>
          <w:color w:val="auto"/>
          <w:highlight w:val="none"/>
        </w:rPr>
      </w:pPr>
      <w:r>
        <w:rPr>
          <w:rFonts w:hint="eastAsia"/>
          <w:color w:val="auto"/>
          <w:highlight w:val="none"/>
        </w:rPr>
        <w:t>投标报价表。</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投标文件附带的U盘应与投标文件正本一同封装。</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31" w:name="_Toc55544824"/>
      <w:r>
        <w:rPr>
          <w:rFonts w:hint="eastAsia"/>
          <w:color w:val="auto"/>
          <w:highlight w:val="none"/>
        </w:rPr>
        <w:t>重要须知</w:t>
      </w:r>
      <w:bookmarkEnd w:id="31"/>
    </w:p>
    <w:p>
      <w:pPr>
        <w:pStyle w:val="4"/>
        <w:keepNext w:val="0"/>
        <w:keepLines w:val="0"/>
        <w:pageBreakBefore w:val="0"/>
        <w:widowControl w:val="0"/>
        <w:kinsoku/>
        <w:overflowPunct/>
        <w:topLinePunct w:val="0"/>
        <w:bidi w:val="0"/>
        <w:textAlignment w:val="auto"/>
        <w:rPr>
          <w:b/>
          <w:color w:val="auto"/>
          <w:highlight w:val="none"/>
        </w:rPr>
      </w:pPr>
      <w:r>
        <w:rPr>
          <w:rFonts w:hint="eastAsia"/>
          <w:color w:val="auto"/>
          <w:highlight w:val="none"/>
        </w:rPr>
        <w:t>招标人将拒绝并原封退回在本招标文件规定的投标截止时间后收到的任何投标文件。</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开标后，投标人的投标文件相关文件不符合招标文件相关要求的，将被退回。</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开标后，每个投标人将有</w:t>
      </w:r>
      <w:r>
        <w:rPr>
          <w:rFonts w:hint="eastAsia"/>
          <w:b/>
          <w:i/>
          <w:color w:val="auto"/>
          <w:highlight w:val="none"/>
          <w:u w:val="single"/>
          <w:lang w:val="en-US" w:eastAsia="zh-CN"/>
        </w:rPr>
        <w:t>20</w:t>
      </w:r>
      <w:r>
        <w:rPr>
          <w:rFonts w:hint="eastAsia"/>
          <w:b/>
          <w:i/>
          <w:color w:val="auto"/>
          <w:highlight w:val="none"/>
          <w:u w:val="single"/>
        </w:rPr>
        <w:t>分钟的讲标时间</w:t>
      </w:r>
      <w:r>
        <w:rPr>
          <w:rFonts w:hint="eastAsia"/>
          <w:color w:val="auto"/>
          <w:highlight w:val="none"/>
        </w:rPr>
        <w:t>，讲标内容不得超出投标文件的内容范围。</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讲标结束后，评标过程将在全封闭地点进行；在此期间，投标人非经评审委员会要求对投标文件含义不明确的内容进行必要的澄清或说明，不得单独联系评审委员会的任何人员。</w:t>
      </w:r>
    </w:p>
    <w:p>
      <w:pPr>
        <w:pStyle w:val="2"/>
        <w:keepNext w:val="0"/>
        <w:keepLines w:val="0"/>
        <w:pageBreakBefore w:val="0"/>
        <w:widowControl w:val="0"/>
        <w:kinsoku/>
        <w:overflowPunct/>
        <w:topLinePunct w:val="0"/>
        <w:bidi w:val="0"/>
        <w:textAlignment w:val="auto"/>
        <w:rPr>
          <w:color w:val="auto"/>
          <w:highlight w:val="none"/>
        </w:rPr>
      </w:pPr>
      <w:bookmarkStart w:id="32" w:name="_Toc23335"/>
      <w:bookmarkStart w:id="33" w:name="_Toc55544825"/>
      <w:r>
        <w:rPr>
          <w:rFonts w:hint="eastAsia"/>
          <w:color w:val="auto"/>
          <w:highlight w:val="none"/>
        </w:rPr>
        <w:t>知识产权</w:t>
      </w:r>
      <w:bookmarkEnd w:id="32"/>
      <w:bookmarkEnd w:id="33"/>
    </w:p>
    <w:p>
      <w:pPr>
        <w:pStyle w:val="4"/>
        <w:keepNext w:val="0"/>
        <w:keepLines w:val="0"/>
        <w:pageBreakBefore w:val="0"/>
        <w:widowControl w:val="0"/>
        <w:kinsoku/>
        <w:overflowPunct/>
        <w:topLinePunct w:val="0"/>
        <w:bidi w:val="0"/>
        <w:textAlignment w:val="auto"/>
        <w:rPr>
          <w:color w:val="auto"/>
          <w:highlight w:val="none"/>
        </w:rPr>
      </w:pPr>
      <w:r>
        <w:rPr>
          <w:rFonts w:hint="eastAsia" w:hAnsi="宋体"/>
          <w:color w:val="auto"/>
          <w:highlight w:val="none"/>
        </w:rPr>
        <w:t>投标人</w:t>
      </w:r>
      <w:r>
        <w:rPr>
          <w:rFonts w:hint="eastAsia"/>
          <w:color w:val="auto"/>
          <w:highlight w:val="none"/>
        </w:rPr>
        <w:t>应保证</w:t>
      </w:r>
      <w:r>
        <w:rPr>
          <w:rFonts w:hint="eastAsia"/>
          <w:color w:val="auto"/>
          <w:spacing w:val="-2"/>
          <w:highlight w:val="none"/>
        </w:rPr>
        <w:t>，投标人</w:t>
      </w:r>
      <w:r>
        <w:rPr>
          <w:rFonts w:hint="eastAsia"/>
          <w:color w:val="auto"/>
          <w:highlight w:val="none"/>
        </w:rPr>
        <w:t>是本项目</w:t>
      </w:r>
      <w:r>
        <w:rPr>
          <w:color w:val="auto"/>
          <w:highlight w:val="none"/>
        </w:rPr>
        <w:t>提供的任何产品（含软件）、技术和服务的知识产权的合法所有人，或已经从其</w:t>
      </w:r>
      <w:r>
        <w:rPr>
          <w:rFonts w:hint="eastAsia"/>
          <w:color w:val="auto"/>
          <w:highlight w:val="none"/>
        </w:rPr>
        <w:t>合法</w:t>
      </w:r>
      <w:r>
        <w:rPr>
          <w:color w:val="auto"/>
          <w:highlight w:val="none"/>
        </w:rPr>
        <w:t>所有人得到了</w:t>
      </w:r>
      <w:r>
        <w:rPr>
          <w:rFonts w:hint="eastAsia"/>
          <w:color w:val="auto"/>
          <w:highlight w:val="none"/>
        </w:rPr>
        <w:t>合法、</w:t>
      </w:r>
      <w:r>
        <w:rPr>
          <w:color w:val="auto"/>
          <w:highlight w:val="none"/>
        </w:rPr>
        <w:t>适当的授权，并保证其产品</w:t>
      </w:r>
      <w:r>
        <w:rPr>
          <w:rFonts w:hint="eastAsia"/>
          <w:color w:val="auto"/>
          <w:highlight w:val="none"/>
        </w:rPr>
        <w:t>、技术</w:t>
      </w:r>
      <w:r>
        <w:rPr>
          <w:color w:val="auto"/>
          <w:highlight w:val="none"/>
        </w:rPr>
        <w:t>和服务均不侵犯任何第三人的版权、专利</w:t>
      </w:r>
      <w:r>
        <w:rPr>
          <w:rFonts w:hint="eastAsia"/>
          <w:color w:val="auto"/>
          <w:highlight w:val="none"/>
        </w:rPr>
        <w:t>权</w:t>
      </w:r>
      <w:r>
        <w:rPr>
          <w:color w:val="auto"/>
          <w:highlight w:val="none"/>
        </w:rPr>
        <w:t>、商标</w:t>
      </w:r>
      <w:r>
        <w:rPr>
          <w:rFonts w:hint="eastAsia"/>
          <w:color w:val="auto"/>
          <w:highlight w:val="none"/>
        </w:rPr>
        <w:t>权</w:t>
      </w:r>
      <w:r>
        <w:rPr>
          <w:color w:val="auto"/>
          <w:highlight w:val="none"/>
        </w:rPr>
        <w:t>或其他形式的知识产权，亦不侵犯任何第三人的商业秘密或其他权利。</w:t>
      </w:r>
      <w:r>
        <w:rPr>
          <w:rFonts w:hint="eastAsia"/>
          <w:color w:val="auto"/>
          <w:highlight w:val="none"/>
        </w:rPr>
        <w:t>招标人有权因为</w:t>
      </w:r>
      <w:r>
        <w:rPr>
          <w:rFonts w:hint="eastAsia" w:hAnsi="宋体"/>
          <w:color w:val="auto"/>
          <w:highlight w:val="none"/>
        </w:rPr>
        <w:t>投标人</w:t>
      </w:r>
      <w:r>
        <w:rPr>
          <w:color w:val="auto"/>
          <w:highlight w:val="none"/>
        </w:rPr>
        <w:t>提供虚假、错误</w:t>
      </w:r>
      <w:r>
        <w:rPr>
          <w:rFonts w:hint="eastAsia"/>
          <w:color w:val="auto"/>
          <w:highlight w:val="none"/>
        </w:rPr>
        <w:t>或</w:t>
      </w:r>
      <w:r>
        <w:rPr>
          <w:color w:val="auto"/>
          <w:highlight w:val="none"/>
        </w:rPr>
        <w:t>误导性信息</w:t>
      </w:r>
      <w:r>
        <w:rPr>
          <w:rFonts w:hint="eastAsia"/>
          <w:color w:val="auto"/>
          <w:highlight w:val="none"/>
        </w:rPr>
        <w:t>而</w:t>
      </w:r>
      <w:r>
        <w:rPr>
          <w:color w:val="auto"/>
          <w:highlight w:val="none"/>
        </w:rPr>
        <w:t>拒绝其参</w:t>
      </w:r>
      <w:r>
        <w:rPr>
          <w:rFonts w:hint="eastAsia"/>
          <w:color w:val="auto"/>
          <w:highlight w:val="none"/>
        </w:rPr>
        <w:t>加投标，并保留</w:t>
      </w:r>
      <w:r>
        <w:rPr>
          <w:color w:val="auto"/>
          <w:highlight w:val="none"/>
        </w:rPr>
        <w:t>依照所适用法律可能享有的进一步追诉的所有权利。</w:t>
      </w:r>
    </w:p>
    <w:p>
      <w:pPr>
        <w:pStyle w:val="4"/>
        <w:keepNext w:val="0"/>
        <w:keepLines w:val="0"/>
        <w:pageBreakBefore w:val="0"/>
        <w:widowControl w:val="0"/>
        <w:kinsoku/>
        <w:overflowPunct/>
        <w:topLinePunct w:val="0"/>
        <w:bidi w:val="0"/>
        <w:textAlignment w:val="auto"/>
        <w:rPr>
          <w:color w:val="auto"/>
          <w:spacing w:val="-2"/>
          <w:highlight w:val="none"/>
        </w:rPr>
      </w:pPr>
      <w:r>
        <w:rPr>
          <w:rFonts w:hint="eastAsia"/>
          <w:color w:val="auto"/>
          <w:spacing w:val="-2"/>
          <w:highlight w:val="none"/>
        </w:rPr>
        <w:t>投标人应保证，招标人在中华人民共和国使用产品或产品的任何一部分时，</w:t>
      </w:r>
      <w:r>
        <w:rPr>
          <w:rFonts w:hint="eastAsia"/>
          <w:color w:val="auto"/>
          <w:highlight w:val="none"/>
        </w:rPr>
        <w:t>如</w:t>
      </w:r>
      <w:r>
        <w:rPr>
          <w:color w:val="auto"/>
          <w:highlight w:val="none"/>
        </w:rPr>
        <w:t>因使用</w:t>
      </w:r>
      <w:r>
        <w:rPr>
          <w:rFonts w:hint="eastAsia" w:hAnsi="宋体"/>
          <w:color w:val="auto"/>
          <w:highlight w:val="none"/>
        </w:rPr>
        <w:t>投标人</w:t>
      </w:r>
      <w:r>
        <w:rPr>
          <w:rFonts w:hint="eastAsia"/>
          <w:color w:val="auto"/>
          <w:highlight w:val="none"/>
        </w:rPr>
        <w:t>提供的产品或服务而</w:t>
      </w:r>
      <w:r>
        <w:rPr>
          <w:color w:val="auto"/>
          <w:highlight w:val="none"/>
        </w:rPr>
        <w:t>受到第三方关于侵犯</w:t>
      </w:r>
      <w:r>
        <w:rPr>
          <w:rFonts w:hint="eastAsia"/>
          <w:color w:val="auto"/>
          <w:highlight w:val="none"/>
        </w:rPr>
        <w:t>版权、</w:t>
      </w:r>
      <w:r>
        <w:rPr>
          <w:color w:val="auto"/>
          <w:highlight w:val="none"/>
        </w:rPr>
        <w:t>专利权、商标权</w:t>
      </w:r>
      <w:r>
        <w:rPr>
          <w:rFonts w:hint="eastAsia"/>
          <w:color w:val="auto"/>
          <w:highlight w:val="none"/>
        </w:rPr>
        <w:t>或其他形式的知识产权</w:t>
      </w:r>
      <w:r>
        <w:rPr>
          <w:color w:val="auto"/>
          <w:highlight w:val="none"/>
        </w:rPr>
        <w:t>的</w:t>
      </w:r>
      <w:r>
        <w:rPr>
          <w:rFonts w:hint="eastAsia"/>
          <w:color w:val="auto"/>
          <w:highlight w:val="none"/>
        </w:rPr>
        <w:t>指控</w:t>
      </w:r>
      <w:r>
        <w:rPr>
          <w:color w:val="auto"/>
          <w:highlight w:val="none"/>
        </w:rPr>
        <w:t>或其它指控，投标人须与该第三方交涉</w:t>
      </w:r>
      <w:r>
        <w:rPr>
          <w:rFonts w:hint="eastAsia"/>
          <w:color w:val="auto"/>
          <w:highlight w:val="none"/>
        </w:rPr>
        <w:t>，采取措施使</w:t>
      </w:r>
      <w:r>
        <w:rPr>
          <w:rFonts w:hint="eastAsia" w:ascii="Arial" w:hAnsi="Arial"/>
          <w:color w:val="auto"/>
          <w:highlight w:val="none"/>
        </w:rPr>
        <w:t>招标人</w:t>
      </w:r>
      <w:r>
        <w:rPr>
          <w:rFonts w:ascii="Arial" w:hAnsi="Arial"/>
          <w:color w:val="auto"/>
          <w:highlight w:val="none"/>
        </w:rPr>
        <w:t>免受第三方提出侵犯其专利权或其它知识产权的起诉</w:t>
      </w:r>
      <w:r>
        <w:rPr>
          <w:rFonts w:hint="eastAsia" w:ascii="Arial" w:hAnsi="Arial"/>
          <w:color w:val="auto"/>
          <w:highlight w:val="none"/>
        </w:rPr>
        <w:t>，</w:t>
      </w:r>
      <w:r>
        <w:rPr>
          <w:color w:val="auto"/>
          <w:highlight w:val="none"/>
        </w:rPr>
        <w:t>并</w:t>
      </w:r>
      <w:r>
        <w:rPr>
          <w:rFonts w:hint="eastAsia"/>
          <w:color w:val="auto"/>
          <w:highlight w:val="none"/>
        </w:rPr>
        <w:t>对招标人</w:t>
      </w:r>
      <w:r>
        <w:rPr>
          <w:color w:val="auto"/>
          <w:highlight w:val="none"/>
        </w:rPr>
        <w:t>承担</w:t>
      </w:r>
      <w:r>
        <w:rPr>
          <w:rFonts w:hint="eastAsia"/>
          <w:color w:val="auto"/>
          <w:highlight w:val="none"/>
        </w:rPr>
        <w:t>相应的赔偿责任</w:t>
      </w:r>
      <w:r>
        <w:rPr>
          <w:rFonts w:hint="eastAsia"/>
          <w:color w:val="auto"/>
          <w:spacing w:val="-2"/>
          <w:highlight w:val="none"/>
        </w:rPr>
        <w:t>。</w:t>
      </w:r>
    </w:p>
    <w:p>
      <w:pPr>
        <w:pStyle w:val="2"/>
        <w:keepNext w:val="0"/>
        <w:keepLines w:val="0"/>
        <w:pageBreakBefore w:val="0"/>
        <w:widowControl w:val="0"/>
        <w:kinsoku/>
        <w:overflowPunct/>
        <w:topLinePunct w:val="0"/>
        <w:bidi w:val="0"/>
        <w:textAlignment w:val="auto"/>
        <w:rPr>
          <w:color w:val="auto"/>
          <w:highlight w:val="none"/>
        </w:rPr>
      </w:pPr>
      <w:bookmarkStart w:id="34" w:name="_Toc14987"/>
      <w:bookmarkStart w:id="35" w:name="_Toc55544826"/>
      <w:r>
        <w:rPr>
          <w:rFonts w:hint="eastAsia"/>
          <w:color w:val="auto"/>
          <w:highlight w:val="none"/>
        </w:rPr>
        <w:t>投标文件评审</w:t>
      </w:r>
      <w:bookmarkEnd w:id="34"/>
      <w:bookmarkEnd w:id="35"/>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36" w:name="_Toc55544827"/>
      <w:r>
        <w:rPr>
          <w:rFonts w:hint="eastAsia"/>
          <w:color w:val="auto"/>
          <w:highlight w:val="none"/>
        </w:rPr>
        <w:t>评标</w:t>
      </w:r>
      <w:bookmarkEnd w:id="36"/>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评标委员会：招标人将依照《中华人民共和国招标投标法》、国家计委等七部委制定的《评标委员会和评标方法暂行规定》、《</w:t>
      </w:r>
      <w:r>
        <w:rPr>
          <w:color w:val="auto"/>
          <w:highlight w:val="none"/>
        </w:rPr>
        <w:t>四川天府银行</w:t>
      </w:r>
      <w:r>
        <w:rPr>
          <w:rFonts w:hint="eastAsia"/>
          <w:color w:val="auto"/>
          <w:highlight w:val="none"/>
        </w:rPr>
        <w:t>招标采购管理办法》等法律法规的有关规定组建评标委员会，评标委员会成员由招标人在开标前临时确定。</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评标原则：评标委员会按照有关法律、法规规定和招标文件要求，遵循公平、公正、科学、择优的原则，采用相同的程序和标准，不受外界任何因素干扰和影响独立对投标文件进行评审。</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评标主要内容：对投标文件的初审、质疑、综合评审、择优定标。</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37" w:name="_Toc55544828"/>
      <w:r>
        <w:rPr>
          <w:rFonts w:hint="eastAsia"/>
          <w:color w:val="auto"/>
          <w:highlight w:val="none"/>
        </w:rPr>
        <w:t>中标条件</w:t>
      </w:r>
      <w:bookmarkEnd w:id="37"/>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能最大限度满足招标文件要求；</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投标报价合理；</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具有综合竞争优势。</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38" w:name="_Toc55544829"/>
      <w:r>
        <w:rPr>
          <w:rFonts w:hint="eastAsia"/>
          <w:color w:val="auto"/>
          <w:highlight w:val="none"/>
        </w:rPr>
        <w:t>其他事项</w:t>
      </w:r>
      <w:bookmarkEnd w:id="38"/>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在投标、评标过程中，如有投标人联合故意抬高报价或其他不正当行为，招标方有权中止投标或评标。</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对本次采购的产品的投标要具有真实性，提供的招标书中的资质证书要真实可查，凡是作假查实后取消投标资格；</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投标人按必须满足招标指标，关键指标不满足做否决</w:t>
      </w:r>
      <w:r>
        <w:rPr>
          <w:color w:val="auto"/>
          <w:highlight w:val="none"/>
        </w:rPr>
        <w:t>投标</w:t>
      </w:r>
      <w:r>
        <w:rPr>
          <w:rFonts w:hint="eastAsia"/>
          <w:color w:val="auto"/>
          <w:highlight w:val="none"/>
        </w:rPr>
        <w:t>处理；</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投标书所列</w:t>
      </w:r>
      <w:r>
        <w:rPr>
          <w:rFonts w:hint="eastAsia"/>
          <w:color w:val="auto"/>
          <w:highlight w:val="none"/>
          <w:lang w:eastAsia="zh-CN"/>
        </w:rPr>
        <w:t>服务</w:t>
      </w:r>
      <w:r>
        <w:rPr>
          <w:rFonts w:hint="eastAsia"/>
          <w:color w:val="auto"/>
          <w:highlight w:val="none"/>
        </w:rPr>
        <w:t>及报价要清楚准确；</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投标人不得采取虚假投标方式骗标、围标，一经发现取消投标人资格，直接列入投标公司黑名单；</w:t>
      </w:r>
    </w:p>
    <w:p>
      <w:pPr>
        <w:pStyle w:val="2"/>
        <w:keepNext w:val="0"/>
        <w:keepLines w:val="0"/>
        <w:pageBreakBefore w:val="0"/>
        <w:widowControl w:val="0"/>
        <w:kinsoku/>
        <w:overflowPunct/>
        <w:topLinePunct w:val="0"/>
        <w:bidi w:val="0"/>
        <w:textAlignment w:val="auto"/>
        <w:rPr>
          <w:color w:val="auto"/>
          <w:highlight w:val="none"/>
        </w:rPr>
      </w:pPr>
      <w:bookmarkStart w:id="39" w:name="_Toc10169"/>
      <w:bookmarkStart w:id="40" w:name="_Toc55544830"/>
      <w:r>
        <w:rPr>
          <w:rFonts w:hint="eastAsia"/>
          <w:color w:val="auto"/>
          <w:highlight w:val="none"/>
        </w:rPr>
        <w:t>授予合同</w:t>
      </w:r>
      <w:bookmarkEnd w:id="39"/>
      <w:bookmarkEnd w:id="40"/>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41" w:name="_Toc55544831"/>
      <w:r>
        <w:rPr>
          <w:rFonts w:hint="eastAsia"/>
          <w:color w:val="auto"/>
          <w:highlight w:val="none"/>
        </w:rPr>
        <w:t>中标通知</w:t>
      </w:r>
      <w:bookmarkEnd w:id="41"/>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评标委员会确定中标厂商后，由招标人签发《中标通知书》。</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对未中标的投标人，招标人不解释落标原因，投标文件不予退还。</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42" w:name="_Toc55544832"/>
      <w:r>
        <w:rPr>
          <w:rFonts w:hint="eastAsia"/>
          <w:color w:val="auto"/>
          <w:highlight w:val="none"/>
        </w:rPr>
        <w:t>招标人在授标时的权利</w:t>
      </w:r>
      <w:bookmarkEnd w:id="42"/>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为维护国家利益，招标人在授予合同之前仍有选择或拒绝任何或全部标的物的权力，对因此而受影响的投标人不承担任何责任，也没有义务向受影响的投标人解释采取这一行动的理由。</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若投标人数达不到法定要求或评标委员会否决所有投标，招标人有权选择其他采购方式。</w:t>
      </w:r>
    </w:p>
    <w:p>
      <w:pPr>
        <w:pStyle w:val="3"/>
        <w:keepNext w:val="0"/>
        <w:keepLines w:val="0"/>
        <w:pageBreakBefore w:val="0"/>
        <w:widowControl w:val="0"/>
        <w:kinsoku/>
        <w:overflowPunct/>
        <w:topLinePunct w:val="0"/>
        <w:bidi w:val="0"/>
        <w:spacing w:before="156" w:after="156"/>
        <w:textAlignment w:val="auto"/>
        <w:rPr>
          <w:color w:val="auto"/>
          <w:highlight w:val="none"/>
        </w:rPr>
      </w:pPr>
      <w:bookmarkStart w:id="43" w:name="_Toc55544833"/>
      <w:r>
        <w:rPr>
          <w:rFonts w:hint="eastAsia"/>
          <w:color w:val="auto"/>
          <w:highlight w:val="none"/>
        </w:rPr>
        <w:t>合同签订</w:t>
      </w:r>
      <w:bookmarkEnd w:id="43"/>
    </w:p>
    <w:p>
      <w:pPr>
        <w:pStyle w:val="4"/>
        <w:keepNext w:val="0"/>
        <w:keepLines w:val="0"/>
        <w:pageBreakBefore w:val="0"/>
        <w:widowControl w:val="0"/>
        <w:kinsoku/>
        <w:overflowPunct/>
        <w:topLinePunct w:val="0"/>
        <w:bidi w:val="0"/>
        <w:textAlignment w:val="auto"/>
        <w:rPr>
          <w:rFonts w:hint="eastAsia"/>
          <w:color w:val="auto"/>
          <w:highlight w:val="none"/>
        </w:rPr>
      </w:pPr>
      <w:r>
        <w:rPr>
          <w:rFonts w:hint="eastAsia"/>
          <w:color w:val="auto"/>
          <w:highlight w:val="none"/>
        </w:rPr>
        <w:t>中标人应在收到中标通知书后与本行进入相关合同的讨论工作，双方达成共识后签订合同,如双方无法达成共识，招标人有权终止中标合同。</w:t>
      </w:r>
    </w:p>
    <w:p>
      <w:pPr>
        <w:pStyle w:val="4"/>
        <w:keepNext w:val="0"/>
        <w:keepLines w:val="0"/>
        <w:pageBreakBefore w:val="0"/>
        <w:widowControl w:val="0"/>
        <w:kinsoku/>
        <w:overflowPunct/>
        <w:topLinePunct w:val="0"/>
        <w:bidi w:val="0"/>
        <w:textAlignment w:val="auto"/>
        <w:rPr>
          <w:color w:val="auto"/>
          <w:highlight w:val="none"/>
        </w:rPr>
      </w:pPr>
      <w:r>
        <w:rPr>
          <w:rFonts w:hint="eastAsia"/>
          <w:color w:val="auto"/>
          <w:highlight w:val="none"/>
        </w:rPr>
        <w:t>中标通知书对招标人和中标人均具有法律效力。中标通知书发出后，中标人放弃中标项目的，或不能在30天内与招标人签订合同的，应依法承担法律责任。中标通知书发出且双方达成共识后，招标人无故改变中标结果的，依法承担法律责任。</w:t>
      </w:r>
    </w:p>
    <w:p>
      <w:pPr>
        <w:pStyle w:val="2"/>
        <w:keepNext w:val="0"/>
        <w:keepLines w:val="0"/>
        <w:pageBreakBefore w:val="0"/>
        <w:widowControl w:val="0"/>
        <w:kinsoku/>
        <w:overflowPunct/>
        <w:topLinePunct w:val="0"/>
        <w:bidi w:val="0"/>
        <w:textAlignment w:val="auto"/>
        <w:rPr>
          <w:color w:val="auto"/>
          <w:highlight w:val="none"/>
        </w:rPr>
      </w:pPr>
      <w:bookmarkStart w:id="44" w:name="_Toc55544834"/>
      <w:bookmarkStart w:id="45" w:name="_Toc30481"/>
      <w:r>
        <w:rPr>
          <w:rFonts w:hint="eastAsia"/>
          <w:color w:val="auto"/>
          <w:highlight w:val="none"/>
        </w:rPr>
        <w:t>招标文件的解释</w:t>
      </w:r>
      <w:bookmarkEnd w:id="44"/>
      <w:bookmarkEnd w:id="45"/>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rPr>
      </w:pPr>
      <w:r>
        <w:rPr>
          <w:rFonts w:hint="eastAsia"/>
          <w:color w:val="auto"/>
          <w:highlight w:val="none"/>
        </w:rPr>
        <w:t>本招标文件由招标人负责解释。</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snapToGrid w:val="0"/>
          <w:color w:val="auto"/>
          <w:sz w:val="36"/>
          <w:szCs w:val="36"/>
          <w:highlight w:val="none"/>
        </w:rPr>
      </w:pPr>
      <w:r>
        <w:rPr>
          <w:color w:val="auto"/>
          <w:highlight w:val="none"/>
        </w:rPr>
        <w:br w:type="page"/>
      </w:r>
      <w:bookmarkStart w:id="46" w:name="_Toc55544835"/>
    </w:p>
    <w:p>
      <w:pPr>
        <w:pStyle w:val="12"/>
        <w:keepNext w:val="0"/>
        <w:keepLines w:val="0"/>
        <w:pageBreakBefore w:val="0"/>
        <w:widowControl w:val="0"/>
        <w:kinsoku/>
        <w:overflowPunct/>
        <w:topLinePunct w:val="0"/>
        <w:bidi w:val="0"/>
        <w:textAlignment w:val="auto"/>
        <w:outlineLvl w:val="9"/>
        <w:rPr>
          <w:rFonts w:hint="eastAsia"/>
          <w:snapToGrid w:val="0"/>
          <w:color w:val="auto"/>
          <w:sz w:val="36"/>
          <w:szCs w:val="36"/>
          <w:highlight w:val="none"/>
        </w:rPr>
      </w:pPr>
    </w:p>
    <w:p>
      <w:pPr>
        <w:pStyle w:val="12"/>
        <w:keepNext w:val="0"/>
        <w:keepLines w:val="0"/>
        <w:pageBreakBefore w:val="0"/>
        <w:widowControl w:val="0"/>
        <w:kinsoku/>
        <w:overflowPunct/>
        <w:topLinePunct w:val="0"/>
        <w:bidi w:val="0"/>
        <w:textAlignment w:val="auto"/>
        <w:rPr>
          <w:snapToGrid w:val="0"/>
          <w:color w:val="auto"/>
          <w:sz w:val="36"/>
          <w:szCs w:val="36"/>
          <w:highlight w:val="none"/>
        </w:rPr>
      </w:pPr>
      <w:bookmarkStart w:id="47" w:name="_Toc22926"/>
      <w:r>
        <w:rPr>
          <w:rFonts w:hint="eastAsia"/>
          <w:snapToGrid w:val="0"/>
          <w:color w:val="auto"/>
          <w:sz w:val="36"/>
          <w:szCs w:val="36"/>
          <w:highlight w:val="none"/>
        </w:rPr>
        <w:t>第二部分：</w:t>
      </w:r>
      <w:r>
        <w:rPr>
          <w:rFonts w:hint="eastAsia"/>
          <w:snapToGrid w:val="0"/>
          <w:color w:val="auto"/>
          <w:sz w:val="36"/>
          <w:szCs w:val="36"/>
          <w:highlight w:val="none"/>
          <w:lang w:eastAsia="zh-CN"/>
        </w:rPr>
        <w:t>服务</w:t>
      </w:r>
      <w:r>
        <w:rPr>
          <w:rFonts w:hint="eastAsia"/>
          <w:snapToGrid w:val="0"/>
          <w:color w:val="auto"/>
          <w:sz w:val="36"/>
          <w:szCs w:val="36"/>
          <w:highlight w:val="none"/>
        </w:rPr>
        <w:t>内容和要求</w:t>
      </w:r>
      <w:bookmarkEnd w:id="46"/>
      <w:bookmarkEnd w:id="47"/>
    </w:p>
    <w:p>
      <w:pPr>
        <w:pStyle w:val="2"/>
        <w:keepNext w:val="0"/>
        <w:keepLines w:val="0"/>
        <w:pageBreakBefore w:val="0"/>
        <w:widowControl w:val="0"/>
        <w:kinsoku/>
        <w:overflowPunct/>
        <w:topLinePunct w:val="0"/>
        <w:bidi w:val="0"/>
        <w:textAlignment w:val="auto"/>
        <w:rPr>
          <w:color w:val="auto"/>
          <w:highlight w:val="none"/>
        </w:rPr>
      </w:pPr>
      <w:bookmarkStart w:id="48" w:name="_Toc55544836"/>
      <w:bookmarkStart w:id="49" w:name="_Toc16632"/>
      <w:r>
        <w:rPr>
          <w:rFonts w:hint="eastAsia"/>
          <w:color w:val="auto"/>
          <w:highlight w:val="none"/>
          <w:lang w:eastAsia="zh-CN"/>
        </w:rPr>
        <w:t>基本服务</w:t>
      </w:r>
      <w:r>
        <w:rPr>
          <w:rFonts w:hint="eastAsia"/>
          <w:color w:val="auto"/>
          <w:highlight w:val="none"/>
        </w:rPr>
        <w:t>要求</w:t>
      </w:r>
      <w:bookmarkEnd w:id="48"/>
      <w:bookmarkEnd w:id="49"/>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rPr>
      </w:pPr>
      <w:r>
        <w:rPr>
          <w:rFonts w:hint="eastAsia"/>
          <w:color w:val="auto"/>
          <w:highlight w:val="none"/>
        </w:rPr>
        <w:t>若本标书中的项目内容或要求中出现不合理或不完整问题时，投标人有责任和义务在投标文件当中提出补充修改方案。</w:t>
      </w:r>
    </w:p>
    <w:p>
      <w:pPr>
        <w:pStyle w:val="4"/>
        <w:keepNext w:val="0"/>
        <w:keepLines w:val="0"/>
        <w:pageBreakBefore w:val="0"/>
        <w:widowControl w:val="0"/>
        <w:kinsoku/>
        <w:overflowPunct/>
        <w:topLinePunct w:val="0"/>
        <w:bidi w:val="0"/>
        <w:textAlignment w:val="auto"/>
        <w:rPr>
          <w:rFonts w:hint="eastAsia"/>
          <w:color w:val="auto"/>
          <w:highlight w:val="none"/>
        </w:rPr>
      </w:pPr>
      <w:r>
        <w:rPr>
          <w:rFonts w:hint="eastAsia"/>
          <w:color w:val="auto"/>
          <w:highlight w:val="none"/>
        </w:rPr>
        <w:t>投标人必须根据项目内容要求列出详细</w:t>
      </w:r>
      <w:r>
        <w:rPr>
          <w:rFonts w:hint="eastAsia"/>
          <w:color w:val="auto"/>
          <w:highlight w:val="none"/>
          <w:lang w:val="en-US" w:eastAsia="zh-CN"/>
        </w:rPr>
        <w:t>的舆情监测和媒体公关服务项目</w:t>
      </w:r>
      <w:r>
        <w:rPr>
          <w:rFonts w:hint="eastAsia"/>
          <w:color w:val="auto"/>
          <w:highlight w:val="none"/>
        </w:rPr>
        <w:t>内容清单</w:t>
      </w:r>
      <w:r>
        <w:rPr>
          <w:rFonts w:hint="eastAsia"/>
          <w:color w:val="auto"/>
          <w:highlight w:val="none"/>
          <w:lang w:val="en-US" w:eastAsia="zh-CN"/>
        </w:rPr>
        <w:t>及报价</w:t>
      </w:r>
      <w:r>
        <w:rPr>
          <w:rFonts w:hint="eastAsia"/>
          <w:color w:val="auto"/>
          <w:highlight w:val="none"/>
        </w:rPr>
        <w:t>，并确保能满足全部项目需求。</w:t>
      </w:r>
    </w:p>
    <w:p>
      <w:pPr>
        <w:pStyle w:val="4"/>
        <w:keepNext w:val="0"/>
        <w:keepLines w:val="0"/>
        <w:pageBreakBefore w:val="0"/>
        <w:widowControl w:val="0"/>
        <w:kinsoku/>
        <w:overflowPunct/>
        <w:topLinePunct w:val="0"/>
        <w:bidi w:val="0"/>
        <w:textAlignment w:val="auto"/>
        <w:rPr>
          <w:rFonts w:hint="eastAsia"/>
          <w:color w:val="auto"/>
          <w:highlight w:val="none"/>
        </w:rPr>
      </w:pPr>
      <w:r>
        <w:rPr>
          <w:rFonts w:hint="eastAsia"/>
          <w:color w:val="auto"/>
          <w:highlight w:val="none"/>
        </w:rPr>
        <w:t>投标人应与我行签订保密协议，严格遵守法律法规，对</w:t>
      </w:r>
      <w:r>
        <w:rPr>
          <w:rFonts w:hint="eastAsia"/>
          <w:color w:val="auto"/>
          <w:highlight w:val="none"/>
          <w:lang w:val="en-US" w:eastAsia="zh-CN"/>
        </w:rPr>
        <w:t>舆情信息监测、咨询、应对处置</w:t>
      </w:r>
      <w:r>
        <w:rPr>
          <w:rFonts w:hint="eastAsia"/>
          <w:color w:val="auto"/>
          <w:highlight w:val="none"/>
        </w:rPr>
        <w:t>等服务工作中的所</w:t>
      </w:r>
      <w:r>
        <w:rPr>
          <w:rFonts w:hint="eastAsia"/>
          <w:color w:val="auto"/>
          <w:highlight w:val="none"/>
          <w:lang w:val="en-US" w:eastAsia="zh-CN"/>
        </w:rPr>
        <w:t>知悉</w:t>
      </w:r>
      <w:r>
        <w:rPr>
          <w:rFonts w:hint="eastAsia"/>
          <w:color w:val="auto"/>
          <w:highlight w:val="none"/>
        </w:rPr>
        <w:t>的</w:t>
      </w:r>
      <w:r>
        <w:rPr>
          <w:rFonts w:hint="eastAsia"/>
          <w:color w:val="auto"/>
          <w:highlight w:val="none"/>
          <w:lang w:val="en-US" w:eastAsia="zh-CN"/>
        </w:rPr>
        <w:t>信息</w:t>
      </w:r>
      <w:r>
        <w:rPr>
          <w:rFonts w:hint="eastAsia"/>
          <w:color w:val="auto"/>
          <w:highlight w:val="none"/>
        </w:rPr>
        <w:t>严格保密，未经授权不得泄露给任何单位和个人。</w:t>
      </w:r>
    </w:p>
    <w:p>
      <w:pPr>
        <w:pStyle w:val="4"/>
        <w:keepNext w:val="0"/>
        <w:keepLines w:val="0"/>
        <w:pageBreakBefore w:val="0"/>
        <w:widowControl w:val="0"/>
        <w:kinsoku/>
        <w:overflowPunct/>
        <w:topLinePunct w:val="0"/>
        <w:bidi w:val="0"/>
        <w:textAlignment w:val="auto"/>
        <w:rPr>
          <w:rFonts w:hint="eastAsia"/>
          <w:color w:val="auto"/>
          <w:highlight w:val="none"/>
        </w:rPr>
      </w:pPr>
      <w:r>
        <w:rPr>
          <w:rFonts w:hint="eastAsia"/>
          <w:color w:val="auto"/>
          <w:highlight w:val="none"/>
        </w:rPr>
        <w:t>提供项目相关的具有合法使用权的工具软件和信息资源数据，并保证所使用的所有工具和软件不具有所有权和知识产权纠纷及工具和软件可用性和可靠性。</w:t>
      </w:r>
    </w:p>
    <w:p>
      <w:pPr>
        <w:pStyle w:val="2"/>
        <w:keepNext w:val="0"/>
        <w:keepLines w:val="0"/>
        <w:pageBreakBefore w:val="0"/>
        <w:widowControl w:val="0"/>
        <w:kinsoku/>
        <w:overflowPunct/>
        <w:topLinePunct w:val="0"/>
        <w:bidi w:val="0"/>
        <w:textAlignment w:val="auto"/>
        <w:rPr>
          <w:rFonts w:hint="eastAsia"/>
          <w:color w:val="auto"/>
          <w:highlight w:val="none"/>
        </w:rPr>
      </w:pPr>
      <w:bookmarkStart w:id="50" w:name="_Toc291258512"/>
      <w:bookmarkStart w:id="51" w:name="_Toc7369"/>
      <w:bookmarkStart w:id="52" w:name="_Toc339894985"/>
      <w:bookmarkStart w:id="53" w:name="_Toc55544837"/>
      <w:r>
        <w:rPr>
          <w:rFonts w:hint="eastAsia"/>
          <w:color w:val="auto"/>
          <w:highlight w:val="none"/>
        </w:rPr>
        <w:t>服务内容和要求</w:t>
      </w:r>
      <w:bookmarkEnd w:id="50"/>
      <w:bookmarkEnd w:id="51"/>
      <w:bookmarkEnd w:id="52"/>
      <w:bookmarkEnd w:id="53"/>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lang w:val="en-US" w:eastAsia="zh-CN"/>
        </w:rPr>
      </w:pPr>
      <w:r>
        <w:rPr>
          <w:rFonts w:hint="eastAsia"/>
          <w:color w:val="auto"/>
          <w:highlight w:val="none"/>
        </w:rPr>
        <w:t>建立健全全面、高效的舆情监测体系</w:t>
      </w:r>
      <w:r>
        <w:rPr>
          <w:rFonts w:hint="eastAsia"/>
          <w:color w:val="auto"/>
          <w:highlight w:val="none"/>
          <w:lang w:eastAsia="zh-CN"/>
        </w:rPr>
        <w:t>，</w:t>
      </w:r>
      <w:r>
        <w:rPr>
          <w:rFonts w:hint="eastAsia"/>
          <w:color w:val="auto"/>
          <w:highlight w:val="none"/>
        </w:rPr>
        <w:t>及时发现并预警潜在的舆情危机，通过科学有效的应对措施，维护</w:t>
      </w:r>
      <w:r>
        <w:rPr>
          <w:rFonts w:hint="eastAsia"/>
          <w:color w:val="auto"/>
          <w:highlight w:val="none"/>
          <w:lang w:val="en-US" w:eastAsia="zh-CN"/>
        </w:rPr>
        <w:t>我行</w:t>
      </w:r>
      <w:r>
        <w:rPr>
          <w:rFonts w:hint="eastAsia"/>
          <w:color w:val="auto"/>
          <w:highlight w:val="none"/>
        </w:rPr>
        <w:t>良好的声誉和社会形象。在出现舆情危机时，迅速响应，协助我行制定科学合理的应对策略，妥善处理舆情事件，最大限度降低负面舆情对我行声誉和业务造成的影响。</w:t>
      </w:r>
      <w:r>
        <w:rPr>
          <w:rFonts w:hint="eastAsia"/>
          <w:color w:val="auto"/>
          <w:highlight w:val="none"/>
          <w:lang w:val="en-US" w:eastAsia="zh-CN"/>
        </w:rPr>
        <w:t xml:space="preserve">    </w:t>
      </w:r>
    </w:p>
    <w:p>
      <w:pPr>
        <w:keepNext w:val="0"/>
        <w:keepLines w:val="0"/>
        <w:pageBreakBefore w:val="0"/>
        <w:widowControl w:val="0"/>
        <w:tabs>
          <w:tab w:val="center" w:pos="4369"/>
        </w:tabs>
        <w:kinsoku/>
        <w:overflowPunct/>
        <w:topLinePunct w:val="0"/>
        <w:bidi w:val="0"/>
        <w:spacing w:line="360" w:lineRule="auto"/>
        <w:ind w:firstLine="432"/>
        <w:textAlignment w:val="auto"/>
        <w:rPr>
          <w:rFonts w:hint="eastAsia"/>
          <w:color w:val="auto"/>
          <w:highlight w:val="none"/>
        </w:rPr>
      </w:pPr>
      <w:r>
        <w:rPr>
          <w:rFonts w:hint="eastAsia"/>
          <w:color w:val="auto"/>
          <w:highlight w:val="none"/>
        </w:rPr>
        <w:t>投标人负责提供的服务内容至少应包括，但不限于以下各项。</w:t>
      </w:r>
    </w:p>
    <w:p>
      <w:pPr>
        <w:pStyle w:val="4"/>
        <w:keepNext w:val="0"/>
        <w:keepLines w:val="0"/>
        <w:pageBreakBefore w:val="0"/>
        <w:widowControl w:val="0"/>
        <w:kinsoku/>
        <w:overflowPunct/>
        <w:topLinePunct w:val="0"/>
        <w:bidi w:val="0"/>
        <w:textAlignment w:val="auto"/>
        <w:rPr>
          <w:rFonts w:hint="eastAsia"/>
          <w:color w:val="auto"/>
          <w:highlight w:val="none"/>
        </w:rPr>
      </w:pPr>
      <w:r>
        <w:rPr>
          <w:rFonts w:hint="eastAsia" w:ascii="Times New Roman" w:cs="Times New Roman"/>
          <w:color w:val="auto"/>
          <w:kern w:val="2"/>
          <w:sz w:val="21"/>
          <w:highlight w:val="none"/>
          <w:lang w:val="en-US" w:eastAsia="zh-CN" w:bidi="ar-SA"/>
        </w:rPr>
        <w:t>提供7*24小时</w:t>
      </w:r>
      <w:r>
        <w:rPr>
          <w:rFonts w:hint="eastAsia" w:ascii="Times New Roman" w:hAnsi="Times New Roman" w:eastAsia="宋体" w:cs="Times New Roman"/>
          <w:color w:val="auto"/>
          <w:kern w:val="2"/>
          <w:sz w:val="21"/>
          <w:highlight w:val="none"/>
          <w:lang w:val="en-US" w:eastAsia="zh-CN" w:bidi="ar-SA"/>
        </w:rPr>
        <w:t>舆情监测系统平台，根据我行需求定制监测关键词、监测范围及预警规则，确保全面覆盖涉及我行品牌、业务、员工等方面的舆情信息，不漏报、误报重要舆情</w:t>
      </w:r>
      <w:r>
        <w:rPr>
          <w:rFonts w:hint="eastAsia"/>
          <w:color w:val="auto"/>
          <w:highlight w:val="none"/>
        </w:rPr>
        <w:t>。</w:t>
      </w:r>
    </w:p>
    <w:p>
      <w:pPr>
        <w:pStyle w:val="4"/>
        <w:keepNext w:val="0"/>
        <w:keepLines w:val="0"/>
        <w:pageBreakBefore w:val="0"/>
        <w:widowControl w:val="0"/>
        <w:kinsoku/>
        <w:overflowPunct/>
        <w:topLinePunct w:val="0"/>
        <w:bidi w:val="0"/>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识别出正面、负面及中性舆情，并重点关注负面舆情的发展态势，按照设定的预警机制（如短信、邮件、即时通讯工具等方式）向我行相关人员发送预警信息，确保在舆情发酵初期就能及时介入处理。</w:t>
      </w:r>
    </w:p>
    <w:p>
      <w:pPr>
        <w:pStyle w:val="4"/>
        <w:keepNext w:val="0"/>
        <w:keepLines w:val="0"/>
        <w:pageBreakBefore w:val="0"/>
        <w:widowControl w:val="0"/>
        <w:kinsoku/>
        <w:overflowPunct/>
        <w:topLinePunct w:val="0"/>
        <w:bidi w:val="0"/>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每日提供舆情日报（非工作时间如有重大舆情及时通报），每周出具舆情周报，每月汇总形成舆情月报，遇重大舆情事件时提供专项分析报告。</w:t>
      </w:r>
    </w:p>
    <w:p>
      <w:pPr>
        <w:pStyle w:val="4"/>
        <w:keepNext w:val="0"/>
        <w:keepLines w:val="0"/>
        <w:pageBreakBefore w:val="0"/>
        <w:widowControl w:val="0"/>
        <w:kinsoku/>
        <w:overflowPunct/>
        <w:topLinePunct w:val="0"/>
        <w:bidi w:val="0"/>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在舆情月报</w:t>
      </w:r>
      <w:r>
        <w:rPr>
          <w:rFonts w:hint="eastAsia" w:ascii="Times New Roman" w:cs="Times New Roman"/>
          <w:color w:val="auto"/>
          <w:kern w:val="2"/>
          <w:sz w:val="21"/>
          <w:highlight w:val="none"/>
          <w:lang w:val="en-US" w:eastAsia="zh-CN" w:bidi="ar-SA"/>
        </w:rPr>
        <w:t>或专项报告</w:t>
      </w:r>
      <w:r>
        <w:rPr>
          <w:rFonts w:hint="eastAsia" w:ascii="Times New Roman" w:hAnsi="Times New Roman" w:eastAsia="宋体" w:cs="Times New Roman"/>
          <w:color w:val="auto"/>
          <w:kern w:val="2"/>
          <w:sz w:val="21"/>
          <w:highlight w:val="none"/>
          <w:lang w:val="en-US" w:eastAsia="zh-CN" w:bidi="ar-SA"/>
        </w:rPr>
        <w:t>中，详细呈现舆情概况（舆情总量、分布渠道、热点话题等）、舆情走势分析、重点舆情事件解读、我行声誉风险评估以及应对建议等内容，为我行舆情管理决策提供全面、准确的数据支持和分析依据。</w:t>
      </w:r>
    </w:p>
    <w:p>
      <w:pPr>
        <w:pStyle w:val="4"/>
        <w:keepNext w:val="0"/>
        <w:keepLines w:val="0"/>
        <w:pageBreakBefore w:val="0"/>
        <w:widowControl w:val="0"/>
        <w:kinsoku/>
        <w:overflowPunct/>
        <w:topLinePunct w:val="0"/>
        <w:bidi w:val="0"/>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百度、抖音、今日头条</w:t>
      </w:r>
      <w:r>
        <w:rPr>
          <w:rFonts w:hint="eastAsia" w:ascii="Times New Roman" w:cs="Times New Roman"/>
          <w:color w:val="auto"/>
          <w:kern w:val="2"/>
          <w:sz w:val="21"/>
          <w:highlight w:val="none"/>
          <w:lang w:val="en-US" w:eastAsia="zh-CN" w:bidi="ar-SA"/>
        </w:rPr>
        <w:t>双端SEO</w:t>
      </w:r>
      <w:r>
        <w:rPr>
          <w:rFonts w:hint="eastAsia" w:ascii="Times New Roman" w:hAnsi="Times New Roman" w:eastAsia="宋体" w:cs="Times New Roman"/>
          <w:color w:val="auto"/>
          <w:kern w:val="2"/>
          <w:sz w:val="21"/>
          <w:highlight w:val="none"/>
          <w:lang w:val="en-US" w:eastAsia="zh-CN" w:bidi="ar-SA"/>
        </w:rPr>
        <w:t>优化</w:t>
      </w:r>
      <w:r>
        <w:rPr>
          <w:rFonts w:hint="eastAsia" w:ascii="Times New Roman" w:cs="Times New Roman"/>
          <w:color w:val="auto"/>
          <w:kern w:val="2"/>
          <w:sz w:val="21"/>
          <w:highlight w:val="none"/>
          <w:lang w:val="en-US" w:eastAsia="zh-CN" w:bidi="ar-SA"/>
        </w:rPr>
        <w:t>，至少包含关键词搜索下拉框、大家还在搜和综合搜索前三页。</w:t>
      </w:r>
    </w:p>
    <w:p>
      <w:pPr>
        <w:pStyle w:val="4"/>
        <w:keepNext w:val="0"/>
        <w:keepLines w:val="0"/>
        <w:pageBreakBefore w:val="0"/>
        <w:widowControl w:val="0"/>
        <w:kinsoku/>
        <w:overflowPunct/>
        <w:topLinePunct w:val="0"/>
        <w:bidi w:val="0"/>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在舆情危机发生后，根据舆情实际发生情况及时响应并全程跟进，</w:t>
      </w:r>
      <w:r>
        <w:rPr>
          <w:rFonts w:hint="eastAsia" w:ascii="Times New Roman" w:cs="Times New Roman"/>
          <w:color w:val="auto"/>
          <w:kern w:val="2"/>
          <w:sz w:val="21"/>
          <w:highlight w:val="none"/>
          <w:lang w:val="en-US" w:eastAsia="zh-CN" w:bidi="ar-SA"/>
        </w:rPr>
        <w:t>配合处置</w:t>
      </w:r>
      <w:r>
        <w:rPr>
          <w:rFonts w:hint="eastAsia" w:ascii="Times New Roman" w:hAnsi="Times New Roman" w:eastAsia="宋体" w:cs="Times New Roman"/>
          <w:color w:val="auto"/>
          <w:kern w:val="2"/>
          <w:sz w:val="21"/>
          <w:highlight w:val="none"/>
          <w:lang w:val="en-US" w:eastAsia="zh-CN" w:bidi="ar-SA"/>
        </w:rPr>
        <w:t>包括举报投诉、组织正面舆论引导、协调媒体关系等，</w:t>
      </w:r>
      <w:r>
        <w:rPr>
          <w:rFonts w:hint="eastAsia" w:ascii="Times New Roman" w:cs="Times New Roman"/>
          <w:color w:val="auto"/>
          <w:kern w:val="2"/>
          <w:sz w:val="21"/>
          <w:highlight w:val="none"/>
          <w:lang w:val="en-US" w:eastAsia="zh-CN" w:bidi="ar-SA"/>
        </w:rPr>
        <w:t>为银行</w:t>
      </w:r>
      <w:r>
        <w:rPr>
          <w:rFonts w:hint="eastAsia" w:ascii="Times New Roman" w:hAnsi="Times New Roman" w:eastAsia="宋体" w:cs="Times New Roman"/>
          <w:color w:val="auto"/>
          <w:kern w:val="2"/>
          <w:sz w:val="21"/>
          <w:highlight w:val="none"/>
          <w:lang w:val="en-US" w:eastAsia="zh-CN" w:bidi="ar-SA"/>
        </w:rPr>
        <w:t>制定针对性的应对策略提供</w:t>
      </w:r>
      <w:r>
        <w:rPr>
          <w:rFonts w:hint="eastAsia" w:ascii="Times New Roman" w:cs="Times New Roman"/>
          <w:color w:val="auto"/>
          <w:kern w:val="2"/>
          <w:sz w:val="21"/>
          <w:highlight w:val="none"/>
          <w:lang w:val="en-US" w:eastAsia="zh-CN" w:bidi="ar-SA"/>
        </w:rPr>
        <w:t>专项报告及专业的处置参考意见</w:t>
      </w:r>
      <w:r>
        <w:rPr>
          <w:rFonts w:hint="eastAsia"/>
          <w:color w:val="auto"/>
          <w:highlight w:val="none"/>
        </w:rPr>
        <w:t>。</w:t>
      </w:r>
    </w:p>
    <w:p>
      <w:pPr>
        <w:pStyle w:val="4"/>
        <w:keepNext w:val="0"/>
        <w:keepLines w:val="0"/>
        <w:pageBreakBefore w:val="0"/>
        <w:widowControl w:val="0"/>
        <w:kinsoku/>
        <w:overflowPunct/>
        <w:topLinePunct w:val="0"/>
        <w:bidi w:val="0"/>
        <w:textAlignment w:val="auto"/>
        <w:rPr>
          <w:color w:val="auto"/>
          <w:highlight w:val="none"/>
        </w:rPr>
      </w:pPr>
      <w:r>
        <w:rPr>
          <w:rFonts w:hint="eastAsia" w:ascii="Times New Roman" w:hAnsi="Times New Roman" w:eastAsia="宋体" w:cs="Times New Roman"/>
          <w:color w:val="auto"/>
          <w:kern w:val="2"/>
          <w:sz w:val="21"/>
          <w:highlight w:val="none"/>
          <w:lang w:val="en-US" w:eastAsia="zh-CN" w:bidi="ar-SA"/>
        </w:rPr>
        <w:t>投标方应根据我行上述服务需求，制定详细、具体且具有可操作性的服务方案，方案内容应涵盖服务目标、服务策略、预期服务效果以及服务质量保障措施等方面，清晰展示投标方对本项目的理解和实施思路。</w:t>
      </w:r>
    </w:p>
    <w:p>
      <w:pPr>
        <w:pStyle w:val="2"/>
        <w:keepNext w:val="0"/>
        <w:keepLines w:val="0"/>
        <w:pageBreakBefore w:val="0"/>
        <w:widowControl w:val="0"/>
        <w:kinsoku/>
        <w:overflowPunct/>
        <w:topLinePunct w:val="0"/>
        <w:bidi w:val="0"/>
        <w:textAlignment w:val="auto"/>
        <w:rPr>
          <w:color w:val="auto"/>
          <w:highlight w:val="none"/>
        </w:rPr>
      </w:pPr>
      <w:bookmarkStart w:id="54" w:name="_Toc22294"/>
      <w:bookmarkStart w:id="55" w:name="_Toc55544838"/>
      <w:bookmarkStart w:id="56" w:name="_Toc258333663"/>
      <w:r>
        <w:rPr>
          <w:rFonts w:hint="eastAsia"/>
          <w:color w:val="auto"/>
          <w:highlight w:val="none"/>
          <w:lang w:val="en-US" w:eastAsia="zh-CN"/>
        </w:rPr>
        <w:t>报价</w:t>
      </w:r>
      <w:r>
        <w:rPr>
          <w:rFonts w:hint="eastAsia"/>
          <w:color w:val="auto"/>
          <w:highlight w:val="none"/>
        </w:rPr>
        <w:t>要求</w:t>
      </w:r>
      <w:bookmarkEnd w:id="54"/>
      <w:bookmarkEnd w:id="55"/>
    </w:p>
    <w:p>
      <w:pPr>
        <w:keepNext w:val="0"/>
        <w:keepLines w:val="0"/>
        <w:pageBreakBefore w:val="0"/>
        <w:widowControl w:val="0"/>
        <w:tabs>
          <w:tab w:val="center" w:pos="4369"/>
        </w:tabs>
        <w:kinsoku/>
        <w:overflowPunct/>
        <w:topLinePunct w:val="0"/>
        <w:bidi w:val="0"/>
        <w:spacing w:line="360" w:lineRule="auto"/>
        <w:ind w:firstLine="432"/>
        <w:textAlignment w:val="auto"/>
        <w:rPr>
          <w:color w:val="auto"/>
          <w:highlight w:val="none"/>
        </w:rPr>
      </w:pPr>
      <w:r>
        <w:rPr>
          <w:rFonts w:hint="eastAsia"/>
          <w:color w:val="auto"/>
          <w:highlight w:val="none"/>
        </w:rPr>
        <w:t>投标方需提供详细的报价清单，明确各项服务内容的收费标准、计费方式（如按项目、按年度、按服务次数等）以及总价，报价应包含完成本项目所需的全部费用（含税），不得出现任何隐含费用或后期追加费用的情况。报价应合理、合规，符合市场行情和项目实际需求。</w:t>
      </w:r>
    </w:p>
    <w:bookmarkEnd w:id="56"/>
    <w:p>
      <w:pPr>
        <w:keepNext w:val="0"/>
        <w:keepLines w:val="0"/>
        <w:pageBreakBefore w:val="0"/>
        <w:widowControl w:val="0"/>
        <w:kinsoku/>
        <w:overflowPunct/>
        <w:topLinePunct w:val="0"/>
        <w:bidi w:val="0"/>
        <w:spacing w:line="360" w:lineRule="auto"/>
        <w:ind w:firstLine="422" w:firstLineChars="200"/>
        <w:textAlignment w:val="auto"/>
        <w:rPr>
          <w:b/>
          <w:color w:val="auto"/>
          <w:highlight w:val="none"/>
        </w:rPr>
      </w:pPr>
    </w:p>
    <w:p>
      <w:pPr>
        <w:pStyle w:val="12"/>
        <w:keepNext w:val="0"/>
        <w:keepLines w:val="0"/>
        <w:pageBreakBefore w:val="0"/>
        <w:widowControl w:val="0"/>
        <w:kinsoku/>
        <w:overflowPunct/>
        <w:topLinePunct w:val="0"/>
        <w:bidi w:val="0"/>
        <w:textAlignment w:val="auto"/>
        <w:outlineLvl w:val="9"/>
        <w:rPr>
          <w:snapToGrid w:val="0"/>
          <w:color w:val="auto"/>
          <w:highlight w:val="none"/>
        </w:rPr>
      </w:pPr>
      <w:r>
        <w:rPr>
          <w:snapToGrid w:val="0"/>
          <w:color w:val="auto"/>
          <w:highlight w:val="none"/>
        </w:rPr>
        <w:br w:type="page"/>
      </w:r>
      <w:bookmarkStart w:id="57" w:name="_Toc55544843"/>
    </w:p>
    <w:p>
      <w:pPr>
        <w:pStyle w:val="12"/>
        <w:keepNext w:val="0"/>
        <w:keepLines w:val="0"/>
        <w:pageBreakBefore w:val="0"/>
        <w:widowControl w:val="0"/>
        <w:kinsoku/>
        <w:overflowPunct/>
        <w:topLinePunct w:val="0"/>
        <w:bidi w:val="0"/>
        <w:textAlignment w:val="auto"/>
        <w:outlineLvl w:val="9"/>
        <w:rPr>
          <w:snapToGrid w:val="0"/>
          <w:color w:val="auto"/>
          <w:highlight w:val="none"/>
        </w:rPr>
      </w:pPr>
    </w:p>
    <w:p>
      <w:pPr>
        <w:pStyle w:val="12"/>
        <w:keepNext w:val="0"/>
        <w:keepLines w:val="0"/>
        <w:pageBreakBefore w:val="0"/>
        <w:widowControl w:val="0"/>
        <w:kinsoku/>
        <w:overflowPunct/>
        <w:topLinePunct w:val="0"/>
        <w:bidi w:val="0"/>
        <w:textAlignment w:val="auto"/>
        <w:rPr>
          <w:snapToGrid w:val="0"/>
          <w:color w:val="auto"/>
          <w:sz w:val="36"/>
          <w:szCs w:val="36"/>
          <w:highlight w:val="none"/>
        </w:rPr>
      </w:pPr>
      <w:bookmarkStart w:id="58" w:name="_Toc29474"/>
      <w:r>
        <w:rPr>
          <w:rFonts w:hint="eastAsia"/>
          <w:snapToGrid w:val="0"/>
          <w:color w:val="auto"/>
          <w:sz w:val="36"/>
          <w:szCs w:val="36"/>
          <w:highlight w:val="none"/>
        </w:rPr>
        <w:t>第三部分：投标文件格式</w:t>
      </w:r>
      <w:bookmarkEnd w:id="57"/>
      <w:bookmarkEnd w:id="58"/>
    </w:p>
    <w:p>
      <w:pPr>
        <w:pStyle w:val="2"/>
        <w:keepNext w:val="0"/>
        <w:keepLines w:val="0"/>
        <w:pageBreakBefore w:val="0"/>
        <w:widowControl w:val="0"/>
        <w:kinsoku/>
        <w:overflowPunct/>
        <w:topLinePunct w:val="0"/>
        <w:bidi w:val="0"/>
        <w:textAlignment w:val="auto"/>
        <w:rPr>
          <w:color w:val="auto"/>
          <w:highlight w:val="none"/>
        </w:rPr>
      </w:pPr>
      <w:bookmarkStart w:id="59" w:name="_Toc24982"/>
      <w:bookmarkStart w:id="60" w:name="_Toc55544844"/>
      <w:r>
        <w:rPr>
          <w:rFonts w:hint="eastAsia"/>
          <w:color w:val="auto"/>
          <w:highlight w:val="none"/>
        </w:rPr>
        <w:t>投标函格式</w:t>
      </w:r>
      <w:bookmarkEnd w:id="59"/>
      <w:bookmarkEnd w:id="60"/>
    </w:p>
    <w:p>
      <w:pPr>
        <w:keepNext w:val="0"/>
        <w:keepLines w:val="0"/>
        <w:pageBreakBefore w:val="0"/>
        <w:widowControl w:val="0"/>
        <w:kinsoku/>
        <w:overflowPunct/>
        <w:topLinePunct w:val="0"/>
        <w:bidi w:val="0"/>
        <w:spacing w:before="120" w:after="120"/>
        <w:jc w:val="center"/>
        <w:textAlignment w:val="auto"/>
        <w:rPr>
          <w:rFonts w:ascii="宋体"/>
          <w:b/>
          <w:color w:val="auto"/>
          <w:sz w:val="32"/>
          <w:highlight w:val="none"/>
        </w:rPr>
      </w:pPr>
      <w:r>
        <w:rPr>
          <w:rFonts w:hint="eastAsia" w:ascii="宋体"/>
          <w:b/>
          <w:color w:val="auto"/>
          <w:sz w:val="32"/>
          <w:highlight w:val="none"/>
        </w:rPr>
        <w:t>投 标 函</w:t>
      </w:r>
    </w:p>
    <w:p>
      <w:pPr>
        <w:keepNext w:val="0"/>
        <w:keepLines w:val="0"/>
        <w:pageBreakBefore w:val="0"/>
        <w:widowControl w:val="0"/>
        <w:kinsoku/>
        <w:overflowPunct/>
        <w:topLinePunct w:val="0"/>
        <w:bidi w:val="0"/>
        <w:textAlignment w:val="auto"/>
        <w:rPr>
          <w:rFonts w:ascii="宋体" w:hAnsi="Courier New"/>
          <w:color w:val="auto"/>
          <w:kern w:val="0"/>
          <w:sz w:val="20"/>
          <w:highlight w:val="none"/>
        </w:rPr>
      </w:pPr>
      <w:r>
        <w:rPr>
          <w:rFonts w:hint="eastAsia" w:ascii="宋体" w:hAnsi="Courier New"/>
          <w:color w:val="auto"/>
          <w:kern w:val="0"/>
          <w:sz w:val="20"/>
          <w:highlight w:val="none"/>
        </w:rPr>
        <w:t>致:</w:t>
      </w:r>
      <w:r>
        <w:rPr>
          <w:rFonts w:ascii="宋体" w:hAnsi="Courier New"/>
          <w:color w:val="auto"/>
          <w:kern w:val="0"/>
          <w:sz w:val="20"/>
          <w:highlight w:val="none"/>
        </w:rPr>
        <w:t>四川天府银行股份有限公司</w:t>
      </w:r>
    </w:p>
    <w:p>
      <w:pPr>
        <w:pStyle w:val="6"/>
        <w:keepNext w:val="0"/>
        <w:keepLines w:val="0"/>
        <w:pageBreakBefore w:val="0"/>
        <w:widowControl w:val="0"/>
        <w:kinsoku/>
        <w:overflowPunct/>
        <w:topLinePunct w:val="0"/>
        <w:bidi w:val="0"/>
        <w:ind w:firstLine="400" w:firstLineChars="200"/>
        <w:textAlignment w:val="auto"/>
        <w:rPr>
          <w:color w:val="auto"/>
          <w:highlight w:val="none"/>
        </w:rPr>
      </w:pPr>
      <w:r>
        <w:rPr>
          <w:rFonts w:hint="eastAsia"/>
          <w:color w:val="auto"/>
          <w:highlight w:val="none"/>
        </w:rPr>
        <w:t>我方确认收到贵方</w:t>
      </w:r>
      <w:r>
        <w:rPr>
          <w:rFonts w:hint="eastAsia"/>
          <w:color w:val="auto"/>
          <w:highlight w:val="none"/>
          <w:u w:val="single"/>
        </w:rPr>
        <w:t>_</w:t>
      </w:r>
      <w:r>
        <w:rPr>
          <w:rFonts w:hint="eastAsia" w:ascii="宋体" w:hAnsi="宋体" w:eastAsia="宋体" w:cs="Times New Roman"/>
          <w:color w:val="auto"/>
          <w:sz w:val="20"/>
          <w:highlight w:val="none"/>
          <w:u w:val="single"/>
          <w:lang w:val="zh-CN"/>
        </w:rPr>
        <w:t>四川天府银行</w:t>
      </w:r>
      <w:r>
        <w:rPr>
          <w:rFonts w:hint="eastAsia" w:ascii="宋体" w:hAnsi="宋体" w:cs="Times New Roman"/>
          <w:color w:val="auto"/>
          <w:sz w:val="20"/>
          <w:highlight w:val="none"/>
          <w:u w:val="single"/>
          <w:lang w:val="en-US" w:eastAsia="zh-CN"/>
        </w:rPr>
        <w:t>股份有限公司舆情监测与</w:t>
      </w:r>
      <w:r>
        <w:rPr>
          <w:rFonts w:hint="eastAsia" w:hAnsi="宋体" w:cs="Times New Roman"/>
          <w:color w:val="auto"/>
          <w:sz w:val="20"/>
          <w:highlight w:val="none"/>
          <w:u w:val="single"/>
          <w:lang w:val="en-US" w:eastAsia="zh-CN"/>
        </w:rPr>
        <w:t>处置</w:t>
      </w:r>
      <w:r>
        <w:rPr>
          <w:rFonts w:hint="eastAsia" w:ascii="宋体" w:hAnsi="宋体" w:cs="Times New Roman"/>
          <w:color w:val="auto"/>
          <w:sz w:val="20"/>
          <w:highlight w:val="none"/>
          <w:u w:val="single"/>
          <w:lang w:val="en-US" w:eastAsia="zh-CN"/>
        </w:rPr>
        <w:t>服务</w:t>
      </w:r>
      <w:r>
        <w:rPr>
          <w:rFonts w:hint="eastAsia" w:ascii="宋体" w:hAnsi="宋体" w:eastAsia="宋体" w:cs="Times New Roman"/>
          <w:color w:val="auto"/>
          <w:sz w:val="20"/>
          <w:highlight w:val="none"/>
          <w:u w:val="single"/>
          <w:lang w:val="zh-CN"/>
        </w:rPr>
        <w:t>项目</w:t>
      </w:r>
      <w:r>
        <w:rPr>
          <w:rFonts w:hint="eastAsia" w:hAnsi="宋体"/>
          <w:i/>
          <w:color w:val="auto"/>
          <w:kern w:val="28"/>
          <w:highlight w:val="none"/>
          <w:u w:val="single"/>
        </w:rPr>
        <w:t>_</w:t>
      </w:r>
      <w:r>
        <w:rPr>
          <w:rFonts w:hint="eastAsia" w:hAnsi="宋体"/>
          <w:color w:val="auto"/>
          <w:kern w:val="28"/>
          <w:highlight w:val="none"/>
        </w:rPr>
        <w:t>采购</w:t>
      </w:r>
      <w:r>
        <w:rPr>
          <w:rFonts w:hint="eastAsia"/>
          <w:color w:val="auto"/>
          <w:highlight w:val="none"/>
        </w:rPr>
        <w:t>的招标文件，</w:t>
      </w:r>
      <w:r>
        <w:rPr>
          <w:rFonts w:hint="eastAsia"/>
          <w:i/>
          <w:color w:val="auto"/>
          <w:highlight w:val="none"/>
          <w:u w:val="single"/>
        </w:rPr>
        <w:t>(投标人名称)</w:t>
      </w:r>
      <w:r>
        <w:rPr>
          <w:rFonts w:hint="eastAsia"/>
          <w:color w:val="auto"/>
          <w:highlight w:val="none"/>
        </w:rPr>
        <w:t>作为投标人已正式授权</w:t>
      </w:r>
      <w:r>
        <w:rPr>
          <w:rFonts w:hint="eastAsia"/>
          <w:i/>
          <w:color w:val="auto"/>
          <w:highlight w:val="none"/>
          <w:u w:val="single"/>
        </w:rPr>
        <w:t>(被授权代表全名、职务)</w:t>
      </w:r>
      <w:r>
        <w:rPr>
          <w:rFonts w:hint="eastAsia"/>
          <w:color w:val="auto"/>
          <w:highlight w:val="none"/>
        </w:rPr>
        <w:t>代表我方提交投标文件，正本一份副本</w:t>
      </w:r>
      <w:r>
        <w:rPr>
          <w:rFonts w:hint="eastAsia"/>
          <w:color w:val="auto"/>
          <w:highlight w:val="none"/>
          <w:lang w:val="en-US" w:eastAsia="zh-CN"/>
        </w:rPr>
        <w:t>四</w:t>
      </w:r>
      <w:r>
        <w:rPr>
          <w:rFonts w:hint="eastAsia"/>
          <w:color w:val="auto"/>
          <w:highlight w:val="none"/>
        </w:rPr>
        <w:t>份，并在正本内附有对应于投标文件各册内容的电子文件一套（U盘形式）。</w:t>
      </w:r>
    </w:p>
    <w:p>
      <w:pPr>
        <w:pStyle w:val="6"/>
        <w:keepNext w:val="0"/>
        <w:keepLines w:val="0"/>
        <w:pageBreakBefore w:val="0"/>
        <w:widowControl w:val="0"/>
        <w:kinsoku/>
        <w:overflowPunct/>
        <w:topLinePunct w:val="0"/>
        <w:bidi w:val="0"/>
        <w:ind w:firstLine="360"/>
        <w:textAlignment w:val="auto"/>
        <w:rPr>
          <w:color w:val="auto"/>
          <w:highlight w:val="none"/>
        </w:rPr>
      </w:pPr>
      <w:r>
        <w:rPr>
          <w:rFonts w:hint="eastAsia"/>
          <w:color w:val="auto"/>
          <w:highlight w:val="none"/>
        </w:rPr>
        <w:t xml:space="preserve">投标文件包括如下内容: </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1．投标函；</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2．投标报价表；</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3．授权书；</w:t>
      </w:r>
    </w:p>
    <w:p>
      <w:pPr>
        <w:keepNext w:val="0"/>
        <w:keepLines w:val="0"/>
        <w:pageBreakBefore w:val="0"/>
        <w:widowControl w:val="0"/>
        <w:kinsoku/>
        <w:overflowPunct/>
        <w:topLinePunct w:val="0"/>
        <w:bidi w:val="0"/>
        <w:spacing w:line="360" w:lineRule="auto"/>
        <w:ind w:firstLine="420" w:firstLineChars="200"/>
        <w:textAlignment w:val="auto"/>
        <w:rPr>
          <w:rFonts w:hint="eastAsia"/>
          <w:color w:val="auto"/>
          <w:highlight w:val="none"/>
        </w:rPr>
      </w:pPr>
      <w:r>
        <w:rPr>
          <w:rFonts w:hint="eastAsia"/>
          <w:color w:val="auto"/>
          <w:highlight w:val="none"/>
        </w:rPr>
        <w:t>4．资质证明文件、业绩情况；</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lang w:val="en-US" w:eastAsia="zh-CN"/>
        </w:rPr>
        <w:t>5</w:t>
      </w:r>
      <w:r>
        <w:rPr>
          <w:rFonts w:hint="eastAsia"/>
          <w:color w:val="auto"/>
          <w:highlight w:val="none"/>
        </w:rPr>
        <w:t>．按招标文件中投标人须知及投标文件格式提供的其它有关文件；</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lang w:val="en-US" w:eastAsia="zh-CN"/>
        </w:rPr>
        <w:t>6</w:t>
      </w:r>
      <w:r>
        <w:rPr>
          <w:rFonts w:hint="eastAsia"/>
          <w:color w:val="auto"/>
          <w:highlight w:val="none"/>
        </w:rPr>
        <w:t>．证明拟提供的产品和服务符合招标文件规定的合法性证明文件。</w:t>
      </w:r>
    </w:p>
    <w:p>
      <w:pPr>
        <w:pStyle w:val="6"/>
        <w:keepNext w:val="0"/>
        <w:keepLines w:val="0"/>
        <w:pageBreakBefore w:val="0"/>
        <w:widowControl w:val="0"/>
        <w:kinsoku/>
        <w:overflowPunct/>
        <w:topLinePunct w:val="0"/>
        <w:bidi w:val="0"/>
        <w:spacing w:before="12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我方已完全明白招标文件的所有条款要求，并重申以下几点：</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1．本投标文件的有效期为投标文件提交截止之日起1</w:t>
      </w:r>
      <w:r>
        <w:rPr>
          <w:rFonts w:hint="eastAsia"/>
          <w:color w:val="auto"/>
          <w:highlight w:val="none"/>
          <w:lang w:val="en-US" w:eastAsia="zh-CN"/>
        </w:rPr>
        <w:t>0</w:t>
      </w:r>
      <w:r>
        <w:rPr>
          <w:rFonts w:hint="eastAsia"/>
          <w:color w:val="auto"/>
          <w:highlight w:val="none"/>
        </w:rPr>
        <w:t>0天内有效；</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2．我方已详细研究了招标文件的所有内容，包括修改文件(如果有)和所有已收到的参考资料以及有关附件，并完全明白。我方放弃在此方面提出不明或误解的一切权利。</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3．对贵方在招标文件中（包括修改文件(如果有)和所有已收到的参考资料以及有关附件）有关权利义务和责任限制或免除条款的含义，我方已完全明白并接受。</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4．我方同意按照贵方可能提出的要求而提供与投标有关的任何其它数据或信息。</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5．我方理解贵方不一定接受最低投标价或贵方收到的任何投标。</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6．我方如果中选，将按照招标文件及其修改文件（如果有）的要求及我方承诺，按质、按量、按期履行全部合同责任和义务。</w:t>
      </w:r>
    </w:p>
    <w:p>
      <w:pPr>
        <w:keepNext w:val="0"/>
        <w:keepLines w:val="0"/>
        <w:pageBreakBefore w:val="0"/>
        <w:widowControl w:val="0"/>
        <w:kinsoku/>
        <w:overflowPunct/>
        <w:topLinePunct w:val="0"/>
        <w:bidi w:val="0"/>
        <w:spacing w:line="360" w:lineRule="auto"/>
        <w:ind w:firstLine="420" w:firstLineChars="200"/>
        <w:textAlignment w:val="auto"/>
        <w:rPr>
          <w:color w:val="auto"/>
          <w:highlight w:val="none"/>
        </w:rPr>
      </w:pPr>
      <w:r>
        <w:rPr>
          <w:rFonts w:hint="eastAsia"/>
          <w:color w:val="auto"/>
          <w:highlight w:val="none"/>
        </w:rPr>
        <w:t>7．所有与本招标有关的函件请按下列联系方式发送:</w:t>
      </w:r>
    </w:p>
    <w:p>
      <w:pPr>
        <w:keepNext w:val="0"/>
        <w:keepLines w:val="0"/>
        <w:pageBreakBefore w:val="0"/>
        <w:widowControl w:val="0"/>
        <w:kinsoku/>
        <w:overflowPunct/>
        <w:topLinePunct w:val="0"/>
        <w:bidi w:val="0"/>
        <w:textAlignment w:val="auto"/>
        <w:rPr>
          <w:rFonts w:ascii="宋体"/>
          <w:color w:val="auto"/>
          <w:highlight w:val="none"/>
        </w:rPr>
      </w:pPr>
    </w:p>
    <w:p>
      <w:pPr>
        <w:keepNext w:val="0"/>
        <w:keepLines w:val="0"/>
        <w:pageBreakBefore w:val="0"/>
        <w:widowControl w:val="0"/>
        <w:kinsoku/>
        <w:overflowPunct/>
        <w:topLinePunct w:val="0"/>
        <w:bidi w:val="0"/>
        <w:ind w:left="721"/>
        <w:textAlignment w:val="auto"/>
        <w:rPr>
          <w:rFonts w:ascii="宋体"/>
          <w:color w:val="auto"/>
          <w:highlight w:val="none"/>
        </w:rPr>
      </w:pPr>
      <w:r>
        <w:rPr>
          <w:rFonts w:hint="eastAsia" w:ascii="宋体"/>
          <w:color w:val="auto"/>
          <w:highlight w:val="none"/>
        </w:rPr>
        <w:t xml:space="preserve">地    址：.  </w:t>
      </w:r>
    </w:p>
    <w:p>
      <w:pPr>
        <w:keepNext w:val="0"/>
        <w:keepLines w:val="0"/>
        <w:pageBreakBefore w:val="0"/>
        <w:widowControl w:val="0"/>
        <w:kinsoku/>
        <w:overflowPunct/>
        <w:topLinePunct w:val="0"/>
        <w:bidi w:val="0"/>
        <w:ind w:left="721"/>
        <w:textAlignment w:val="auto"/>
        <w:rPr>
          <w:rFonts w:ascii="宋体"/>
          <w:color w:val="auto"/>
          <w:highlight w:val="none"/>
        </w:rPr>
      </w:pPr>
      <w:r>
        <w:rPr>
          <w:rFonts w:hint="eastAsia" w:ascii="宋体"/>
          <w:color w:val="auto"/>
          <w:highlight w:val="none"/>
        </w:rPr>
        <w:t>邮政编码：.</w:t>
      </w:r>
    </w:p>
    <w:p>
      <w:pPr>
        <w:keepNext w:val="0"/>
        <w:keepLines w:val="0"/>
        <w:pageBreakBefore w:val="0"/>
        <w:widowControl w:val="0"/>
        <w:kinsoku/>
        <w:overflowPunct/>
        <w:topLinePunct w:val="0"/>
        <w:bidi w:val="0"/>
        <w:ind w:left="721"/>
        <w:textAlignment w:val="auto"/>
        <w:rPr>
          <w:rFonts w:ascii="宋体"/>
          <w:color w:val="auto"/>
          <w:highlight w:val="none"/>
          <w:u w:val="single"/>
        </w:rPr>
      </w:pPr>
      <w:r>
        <w:rPr>
          <w:rFonts w:hint="eastAsia" w:ascii="宋体"/>
          <w:color w:val="auto"/>
          <w:highlight w:val="none"/>
        </w:rPr>
        <w:t>联 系 人：.</w:t>
      </w:r>
    </w:p>
    <w:p>
      <w:pPr>
        <w:keepNext w:val="0"/>
        <w:keepLines w:val="0"/>
        <w:pageBreakBefore w:val="0"/>
        <w:widowControl w:val="0"/>
        <w:kinsoku/>
        <w:overflowPunct/>
        <w:topLinePunct w:val="0"/>
        <w:bidi w:val="0"/>
        <w:ind w:left="721"/>
        <w:textAlignment w:val="auto"/>
        <w:rPr>
          <w:rFonts w:ascii="宋体"/>
          <w:color w:val="auto"/>
          <w:highlight w:val="none"/>
        </w:rPr>
      </w:pPr>
      <w:r>
        <w:rPr>
          <w:rFonts w:hint="eastAsia" w:ascii="宋体"/>
          <w:color w:val="auto"/>
          <w:highlight w:val="none"/>
        </w:rPr>
        <w:t xml:space="preserve">电    话：.  </w:t>
      </w:r>
    </w:p>
    <w:p>
      <w:pPr>
        <w:keepNext w:val="0"/>
        <w:keepLines w:val="0"/>
        <w:pageBreakBefore w:val="0"/>
        <w:widowControl w:val="0"/>
        <w:kinsoku/>
        <w:overflowPunct/>
        <w:topLinePunct w:val="0"/>
        <w:bidi w:val="0"/>
        <w:ind w:left="721"/>
        <w:textAlignment w:val="auto"/>
        <w:rPr>
          <w:rFonts w:ascii="宋体"/>
          <w:color w:val="auto"/>
          <w:highlight w:val="none"/>
          <w:u w:val="single"/>
        </w:rPr>
      </w:pPr>
      <w:r>
        <w:rPr>
          <w:rFonts w:hint="eastAsia" w:ascii="宋体"/>
          <w:color w:val="auto"/>
          <w:highlight w:val="none"/>
        </w:rPr>
        <w:t>传    真：.</w:t>
      </w:r>
    </w:p>
    <w:p>
      <w:pPr>
        <w:keepNext w:val="0"/>
        <w:keepLines w:val="0"/>
        <w:pageBreakBefore w:val="0"/>
        <w:widowControl w:val="0"/>
        <w:kinsoku/>
        <w:overflowPunct/>
        <w:topLinePunct w:val="0"/>
        <w:bidi w:val="0"/>
        <w:textAlignment w:val="auto"/>
        <w:rPr>
          <w:rFonts w:ascii="宋体"/>
          <w:color w:val="auto"/>
          <w:highlight w:val="none"/>
          <w:u w:val="single"/>
        </w:rPr>
      </w:pPr>
    </w:p>
    <w:p>
      <w:pPr>
        <w:keepNext w:val="0"/>
        <w:keepLines w:val="0"/>
        <w:pageBreakBefore w:val="0"/>
        <w:widowControl w:val="0"/>
        <w:kinsoku/>
        <w:overflowPunct/>
        <w:topLinePunct w:val="0"/>
        <w:bidi w:val="0"/>
        <w:textAlignment w:val="auto"/>
        <w:rPr>
          <w:rFonts w:ascii="宋体"/>
          <w:color w:val="auto"/>
          <w:highlight w:val="none"/>
          <w:u w:val="single"/>
        </w:rPr>
      </w:pPr>
    </w:p>
    <w:p>
      <w:pPr>
        <w:keepNext w:val="0"/>
        <w:keepLines w:val="0"/>
        <w:pageBreakBefore w:val="0"/>
        <w:widowControl w:val="0"/>
        <w:kinsoku/>
        <w:overflowPunct/>
        <w:topLinePunct w:val="0"/>
        <w:bidi w:val="0"/>
        <w:ind w:left="4599" w:leftChars="2190"/>
        <w:textAlignment w:val="auto"/>
        <w:rPr>
          <w:rFonts w:ascii="宋体"/>
          <w:color w:val="auto"/>
          <w:highlight w:val="none"/>
        </w:rPr>
      </w:pPr>
      <w:r>
        <w:rPr>
          <w:rFonts w:hint="eastAsia" w:ascii="宋体"/>
          <w:color w:val="auto"/>
          <w:highlight w:val="none"/>
        </w:rPr>
        <w:t>投标人（公章）：</w:t>
      </w:r>
    </w:p>
    <w:p>
      <w:pPr>
        <w:keepNext w:val="0"/>
        <w:keepLines w:val="0"/>
        <w:pageBreakBefore w:val="0"/>
        <w:widowControl w:val="0"/>
        <w:kinsoku/>
        <w:overflowPunct/>
        <w:topLinePunct w:val="0"/>
        <w:bidi w:val="0"/>
        <w:ind w:left="4599" w:leftChars="2190"/>
        <w:textAlignment w:val="auto"/>
        <w:rPr>
          <w:rFonts w:ascii="宋体"/>
          <w:color w:val="auto"/>
          <w:highlight w:val="none"/>
        </w:rPr>
      </w:pPr>
      <w:r>
        <w:rPr>
          <w:rFonts w:hint="eastAsia" w:ascii="宋体"/>
          <w:color w:val="auto"/>
          <w:highlight w:val="none"/>
        </w:rPr>
        <w:t>法定代表人</w:t>
      </w:r>
    </w:p>
    <w:p>
      <w:pPr>
        <w:keepNext w:val="0"/>
        <w:keepLines w:val="0"/>
        <w:pageBreakBefore w:val="0"/>
        <w:widowControl w:val="0"/>
        <w:kinsoku/>
        <w:overflowPunct/>
        <w:topLinePunct w:val="0"/>
        <w:bidi w:val="0"/>
        <w:ind w:left="4599" w:leftChars="2190"/>
        <w:textAlignment w:val="auto"/>
        <w:rPr>
          <w:rFonts w:ascii="宋体"/>
          <w:color w:val="auto"/>
          <w:highlight w:val="none"/>
        </w:rPr>
      </w:pPr>
      <w:r>
        <w:rPr>
          <w:rFonts w:hint="eastAsia" w:ascii="宋体"/>
          <w:color w:val="auto"/>
          <w:highlight w:val="none"/>
        </w:rPr>
        <w:t>或被授权人签名（或盖章）：</w:t>
      </w: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r>
        <w:rPr>
          <w:rFonts w:hint="eastAsia" w:ascii="宋体"/>
          <w:color w:val="auto"/>
          <w:highlight w:val="none"/>
        </w:rPr>
        <w:t>日    期：</w:t>
      </w: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ind w:left="4599" w:leftChars="2190"/>
        <w:textAlignment w:val="auto"/>
        <w:rPr>
          <w:rFonts w:hint="eastAsia" w:ascii="宋体"/>
          <w:color w:val="auto"/>
          <w:highlight w:val="none"/>
        </w:rPr>
      </w:pPr>
    </w:p>
    <w:p>
      <w:pPr>
        <w:keepNext w:val="0"/>
        <w:keepLines w:val="0"/>
        <w:pageBreakBefore w:val="0"/>
        <w:widowControl w:val="0"/>
        <w:kinsoku/>
        <w:overflowPunct/>
        <w:topLinePunct w:val="0"/>
        <w:bidi w:val="0"/>
        <w:textAlignment w:val="auto"/>
        <w:rPr>
          <w:rFonts w:hint="eastAsia" w:ascii="宋体"/>
          <w:color w:val="auto"/>
          <w:highlight w:val="none"/>
        </w:rPr>
      </w:pPr>
    </w:p>
    <w:p>
      <w:pPr>
        <w:keepNext w:val="0"/>
        <w:keepLines w:val="0"/>
        <w:pageBreakBefore w:val="0"/>
        <w:widowControl w:val="0"/>
        <w:kinsoku/>
        <w:overflowPunct/>
        <w:topLinePunct w:val="0"/>
        <w:bidi w:val="0"/>
        <w:textAlignment w:val="auto"/>
        <w:rPr>
          <w:rFonts w:ascii="宋体"/>
          <w:color w:val="auto"/>
          <w:highlight w:val="none"/>
        </w:rPr>
      </w:pPr>
    </w:p>
    <w:p>
      <w:pPr>
        <w:pStyle w:val="2"/>
        <w:keepNext w:val="0"/>
        <w:keepLines w:val="0"/>
        <w:pageBreakBefore w:val="0"/>
        <w:widowControl w:val="0"/>
        <w:kinsoku/>
        <w:overflowPunct/>
        <w:topLinePunct w:val="0"/>
        <w:bidi w:val="0"/>
        <w:ind w:left="431" w:hanging="431"/>
        <w:textAlignment w:val="auto"/>
        <w:rPr>
          <w:color w:val="auto"/>
          <w:highlight w:val="none"/>
        </w:rPr>
      </w:pPr>
      <w:bookmarkStart w:id="61" w:name="_Toc55544845"/>
      <w:bookmarkStart w:id="62" w:name="_Toc9246"/>
      <w:r>
        <w:rPr>
          <w:rFonts w:hint="eastAsia"/>
          <w:color w:val="auto"/>
          <w:highlight w:val="none"/>
        </w:rPr>
        <w:t>投标报价表格式</w:t>
      </w:r>
      <w:bookmarkEnd w:id="61"/>
      <w:bookmarkEnd w:id="62"/>
    </w:p>
    <w:p>
      <w:pPr>
        <w:pStyle w:val="6"/>
        <w:keepNext w:val="0"/>
        <w:keepLines w:val="0"/>
        <w:pageBreakBefore w:val="0"/>
        <w:widowControl w:val="0"/>
        <w:kinsoku/>
        <w:overflowPunct/>
        <w:topLinePunct w:val="0"/>
        <w:bidi w:val="0"/>
        <w:jc w:val="center"/>
        <w:textAlignment w:val="auto"/>
        <w:rPr>
          <w:rFonts w:hint="eastAsia" w:hAnsi="宋体"/>
          <w:b/>
          <w:color w:val="auto"/>
          <w:sz w:val="32"/>
          <w:highlight w:val="none"/>
        </w:rPr>
      </w:pPr>
      <w:r>
        <w:rPr>
          <w:rFonts w:hint="eastAsia" w:hAnsi="宋体"/>
          <w:b/>
          <w:color w:val="auto"/>
          <w:sz w:val="32"/>
          <w:highlight w:val="none"/>
        </w:rPr>
        <w:t>分项报价表（格式）</w:t>
      </w:r>
    </w:p>
    <w:p>
      <w:pPr>
        <w:keepNext w:val="0"/>
        <w:keepLines w:val="0"/>
        <w:pageBreakBefore w:val="0"/>
        <w:widowControl w:val="0"/>
        <w:kinsoku/>
        <w:overflowPunct/>
        <w:topLinePunct w:val="0"/>
        <w:bidi w:val="0"/>
        <w:spacing w:line="360" w:lineRule="auto"/>
        <w:jc w:val="left"/>
        <w:textAlignment w:val="auto"/>
        <w:rPr>
          <w:rFonts w:hint="eastAsia" w:ascii="宋体" w:hAnsi="宋体" w:eastAsia="宋体" w:cs="Times New Roman"/>
          <w:color w:val="auto"/>
          <w:sz w:val="20"/>
          <w:highlight w:val="none"/>
          <w:lang w:val="zh-CN"/>
        </w:rPr>
      </w:pPr>
      <w:r>
        <w:rPr>
          <w:rFonts w:hint="eastAsia" w:ascii="宋体" w:hAnsi="宋体" w:eastAsia="宋体" w:cs="Times New Roman"/>
          <w:color w:val="auto"/>
          <w:sz w:val="20"/>
          <w:highlight w:val="none"/>
          <w:lang w:val="zh-CN"/>
        </w:rPr>
        <w:t>项目名称：四川天府银行</w:t>
      </w:r>
      <w:r>
        <w:rPr>
          <w:rFonts w:hint="eastAsia" w:ascii="宋体" w:hAnsi="宋体" w:cs="Times New Roman"/>
          <w:color w:val="auto"/>
          <w:sz w:val="20"/>
          <w:highlight w:val="none"/>
          <w:lang w:val="en-US" w:eastAsia="zh-CN"/>
        </w:rPr>
        <w:t>股份有限公司舆情监测与处置服务</w:t>
      </w:r>
      <w:r>
        <w:rPr>
          <w:rFonts w:hint="eastAsia" w:ascii="宋体" w:hAnsi="宋体" w:eastAsia="宋体" w:cs="Times New Roman"/>
          <w:color w:val="auto"/>
          <w:sz w:val="20"/>
          <w:highlight w:val="none"/>
          <w:lang w:val="zh-CN"/>
        </w:rPr>
        <w:t>项目</w:t>
      </w:r>
    </w:p>
    <w:tbl>
      <w:tblPr>
        <w:tblStyle w:val="13"/>
        <w:tblW w:w="8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870"/>
        <w:gridCol w:w="2055"/>
        <w:gridCol w:w="814"/>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6"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r>
              <w:rPr>
                <w:rFonts w:hint="eastAsia" w:ascii="宋体" w:hAnsi="宋体"/>
                <w:color w:val="auto"/>
                <w:sz w:val="20"/>
                <w:highlight w:val="none"/>
              </w:rPr>
              <w:t>序号</w:t>
            </w:r>
          </w:p>
        </w:tc>
        <w:tc>
          <w:tcPr>
            <w:tcW w:w="3870"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hint="eastAsia" w:ascii="宋体" w:hAnsi="宋体" w:eastAsia="宋体"/>
                <w:color w:val="auto"/>
                <w:sz w:val="20"/>
                <w:highlight w:val="none"/>
                <w:lang w:val="en-US" w:eastAsia="zh-CN"/>
              </w:rPr>
            </w:pPr>
            <w:r>
              <w:rPr>
                <w:rFonts w:hint="eastAsia" w:ascii="宋体" w:hAnsi="宋体"/>
                <w:color w:val="auto"/>
                <w:sz w:val="20"/>
                <w:highlight w:val="none"/>
                <w:lang w:val="en-US" w:eastAsia="zh-CN"/>
              </w:rPr>
              <w:t>服务</w:t>
            </w:r>
            <w:r>
              <w:rPr>
                <w:rFonts w:hint="eastAsia" w:ascii="宋体" w:hAnsi="宋体"/>
                <w:color w:val="auto"/>
                <w:sz w:val="20"/>
                <w:highlight w:val="none"/>
              </w:rPr>
              <w:t>项目</w:t>
            </w:r>
            <w:r>
              <w:rPr>
                <w:rFonts w:hint="eastAsia" w:ascii="宋体" w:hAnsi="宋体"/>
                <w:color w:val="auto"/>
                <w:sz w:val="20"/>
                <w:highlight w:val="none"/>
                <w:lang w:val="en-US" w:eastAsia="zh-CN"/>
              </w:rPr>
              <w:t>名称</w:t>
            </w:r>
          </w:p>
        </w:tc>
        <w:tc>
          <w:tcPr>
            <w:tcW w:w="2055"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hint="default" w:ascii="宋体" w:hAnsi="宋体" w:eastAsia="宋体"/>
                <w:color w:val="auto"/>
                <w:sz w:val="20"/>
                <w:highlight w:val="none"/>
                <w:lang w:val="en-US" w:eastAsia="zh-CN"/>
              </w:rPr>
            </w:pPr>
            <w:r>
              <w:rPr>
                <w:rFonts w:hint="eastAsia" w:ascii="宋体" w:hAnsi="宋体"/>
                <w:color w:val="auto"/>
                <w:sz w:val="20"/>
                <w:highlight w:val="none"/>
                <w:lang w:val="en-US" w:eastAsia="zh-CN"/>
              </w:rPr>
              <w:t>服务内容</w:t>
            </w: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hint="eastAsia" w:ascii="宋体" w:hAnsi="宋体" w:eastAsia="宋体"/>
                <w:color w:val="auto"/>
                <w:sz w:val="20"/>
                <w:highlight w:val="none"/>
                <w:lang w:eastAsia="zh-CN"/>
              </w:rPr>
            </w:pPr>
            <w:r>
              <w:rPr>
                <w:rFonts w:hint="eastAsia" w:ascii="宋体" w:hAnsi="宋体"/>
                <w:color w:val="auto"/>
                <w:sz w:val="20"/>
                <w:highlight w:val="none"/>
                <w:lang w:val="en-US" w:eastAsia="zh-CN"/>
              </w:rPr>
              <w:t>价格</w:t>
            </w: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r>
              <w:rPr>
                <w:rFonts w:hint="eastAsia" w:ascii="宋体" w:hAnsi="宋体"/>
                <w:color w:val="auto"/>
                <w:sz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19" w:type="dxa"/>
            <w:gridSpan w:val="5"/>
            <w:tcBorders>
              <w:bottom w:val="single" w:color="auto" w:sz="4" w:space="0"/>
            </w:tcBorders>
            <w:shd w:val="clear" w:color="auto" w:fill="BFBFBF"/>
            <w:noWrap w:val="0"/>
            <w:vAlign w:val="center"/>
          </w:tcPr>
          <w:p>
            <w:pPr>
              <w:keepNext w:val="0"/>
              <w:keepLines w:val="0"/>
              <w:pageBreakBefore w:val="0"/>
              <w:widowControl w:val="0"/>
              <w:kinsoku/>
              <w:overflowPunct/>
              <w:topLinePunct w:val="0"/>
              <w:bidi w:val="0"/>
              <w:textAlignment w:val="auto"/>
              <w:rPr>
                <w:rFonts w:hint="eastAsia" w:ascii="宋体" w:hAnsi="宋体"/>
                <w:color w:val="auto"/>
                <w:sz w:val="20"/>
                <w:highlight w:val="none"/>
              </w:rPr>
            </w:pPr>
            <w:r>
              <w:rPr>
                <w:rFonts w:hint="eastAsia" w:ascii="宋体" w:hAnsi="宋体"/>
                <w:color w:val="auto"/>
                <w:sz w:val="20"/>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6"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r>
              <w:rPr>
                <w:rFonts w:hint="eastAsia" w:ascii="宋体" w:hAnsi="宋体"/>
                <w:color w:val="auto"/>
                <w:sz w:val="20"/>
                <w:highlight w:val="none"/>
              </w:rPr>
              <w:t>1.1</w:t>
            </w:r>
          </w:p>
        </w:tc>
        <w:tc>
          <w:tcPr>
            <w:tcW w:w="3870" w:type="dxa"/>
            <w:tcBorders>
              <w:bottom w:val="single" w:color="auto" w:sz="4" w:space="0"/>
            </w:tcBorders>
            <w:shd w:val="clear" w:color="auto" w:fill="FFFFFF"/>
            <w:noWrap w:val="0"/>
            <w:vAlign w:val="top"/>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2055"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6"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r>
              <w:rPr>
                <w:rFonts w:hint="eastAsia" w:ascii="宋体" w:hAnsi="宋体"/>
                <w:color w:val="auto"/>
                <w:sz w:val="20"/>
                <w:highlight w:val="none"/>
              </w:rPr>
              <w:t>1.2</w:t>
            </w:r>
          </w:p>
        </w:tc>
        <w:tc>
          <w:tcPr>
            <w:tcW w:w="3870" w:type="dxa"/>
            <w:tcBorders>
              <w:bottom w:val="single" w:color="auto" w:sz="4" w:space="0"/>
            </w:tcBorders>
            <w:shd w:val="clear" w:color="auto" w:fill="FFFFFF"/>
            <w:noWrap w:val="0"/>
            <w:vAlign w:val="top"/>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2055"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6"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r>
              <w:rPr>
                <w:rFonts w:hint="eastAsia" w:ascii="宋体" w:hAnsi="宋体"/>
                <w:color w:val="auto"/>
                <w:sz w:val="20"/>
                <w:highlight w:val="none"/>
              </w:rPr>
              <w:t>1.3</w:t>
            </w:r>
          </w:p>
        </w:tc>
        <w:tc>
          <w:tcPr>
            <w:tcW w:w="3870" w:type="dxa"/>
            <w:tcBorders>
              <w:bottom w:val="single" w:color="auto" w:sz="4" w:space="0"/>
            </w:tcBorders>
            <w:shd w:val="clear" w:color="auto" w:fill="FFFFFF"/>
            <w:noWrap w:val="0"/>
            <w:vAlign w:val="top"/>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2055"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6"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r>
              <w:rPr>
                <w:rFonts w:hint="eastAsia" w:ascii="宋体" w:hAnsi="宋体"/>
                <w:color w:val="auto"/>
                <w:sz w:val="20"/>
                <w:highlight w:val="none"/>
              </w:rPr>
              <w:t>1.4</w:t>
            </w:r>
          </w:p>
        </w:tc>
        <w:tc>
          <w:tcPr>
            <w:tcW w:w="3870" w:type="dxa"/>
            <w:tcBorders>
              <w:bottom w:val="single" w:color="auto" w:sz="4" w:space="0"/>
            </w:tcBorders>
            <w:shd w:val="clear" w:color="auto" w:fill="FFFFFF"/>
            <w:noWrap w:val="0"/>
            <w:vAlign w:val="top"/>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2055"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6" w:type="dxa"/>
            <w:tcBorders>
              <w:bottom w:val="single" w:color="auto" w:sz="4" w:space="0"/>
            </w:tcBorders>
            <w:shd w:val="clear" w:color="auto" w:fill="FFFFFF"/>
            <w:noWrap w:val="0"/>
            <w:vAlign w:val="center"/>
          </w:tcPr>
          <w:p>
            <w:pPr>
              <w:keepNext w:val="0"/>
              <w:keepLines w:val="0"/>
              <w:pageBreakBefore w:val="0"/>
              <w:widowControl w:val="0"/>
              <w:kinsoku/>
              <w:overflowPunct/>
              <w:topLinePunct w:val="0"/>
              <w:bidi w:val="0"/>
              <w:jc w:val="center"/>
              <w:textAlignment w:val="auto"/>
              <w:rPr>
                <w:rFonts w:hint="eastAsia" w:ascii="宋体" w:hAnsi="宋体"/>
                <w:color w:val="auto"/>
                <w:sz w:val="20"/>
                <w:highlight w:val="none"/>
              </w:rPr>
            </w:pPr>
            <w:r>
              <w:rPr>
                <w:rFonts w:ascii="宋体" w:hAnsi="宋体"/>
                <w:color w:val="auto"/>
                <w:sz w:val="20"/>
                <w:highlight w:val="none"/>
              </w:rPr>
              <w:t>……</w:t>
            </w:r>
          </w:p>
        </w:tc>
        <w:tc>
          <w:tcPr>
            <w:tcW w:w="3870" w:type="dxa"/>
            <w:tcBorders>
              <w:bottom w:val="single" w:color="auto" w:sz="4" w:space="0"/>
            </w:tcBorders>
            <w:shd w:val="clear" w:color="auto" w:fill="FFFFFF"/>
            <w:noWrap w:val="0"/>
            <w:vAlign w:val="top"/>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2055"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c>
          <w:tcPr>
            <w:tcW w:w="814" w:type="dxa"/>
            <w:tcBorders>
              <w:bottom w:val="single" w:color="auto" w:sz="4" w:space="0"/>
            </w:tcBorders>
            <w:noWrap w:val="0"/>
            <w:vAlign w:val="center"/>
          </w:tcPr>
          <w:p>
            <w:pPr>
              <w:keepNext w:val="0"/>
              <w:keepLines w:val="0"/>
              <w:pageBreakBefore w:val="0"/>
              <w:widowControl w:val="0"/>
              <w:kinsoku/>
              <w:overflowPunct/>
              <w:topLinePunct w:val="0"/>
              <w:bidi w:val="0"/>
              <w:jc w:val="center"/>
              <w:textAlignment w:val="auto"/>
              <w:rPr>
                <w:rFonts w:ascii="宋体" w:hAnsi="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19" w:type="dxa"/>
            <w:gridSpan w:val="5"/>
            <w:shd w:val="clear" w:color="auto" w:fill="FFFFFF"/>
            <w:noWrap w:val="0"/>
            <w:vAlign w:val="center"/>
          </w:tcPr>
          <w:p>
            <w:pPr>
              <w:keepNext w:val="0"/>
              <w:keepLines w:val="0"/>
              <w:pageBreakBefore w:val="0"/>
              <w:widowControl w:val="0"/>
              <w:kinsoku/>
              <w:overflowPunct/>
              <w:topLinePunct w:val="0"/>
              <w:bidi w:val="0"/>
              <w:textAlignment w:val="auto"/>
              <w:rPr>
                <w:rFonts w:hint="eastAsia" w:ascii="宋体" w:hAnsi="宋体"/>
                <w:color w:val="auto"/>
                <w:sz w:val="20"/>
                <w:highlight w:val="none"/>
              </w:rPr>
            </w:pPr>
            <w:r>
              <w:rPr>
                <w:rFonts w:hint="eastAsia" w:ascii="宋体" w:hAnsi="宋体"/>
                <w:color w:val="auto"/>
                <w:sz w:val="20"/>
                <w:highlight w:val="none"/>
              </w:rPr>
              <w:t>报价合计（人民币元）：</w:t>
            </w:r>
          </w:p>
        </w:tc>
      </w:tr>
    </w:tbl>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ind w:firstLine="400" w:firstLineChars="200"/>
        <w:textAlignment w:val="auto"/>
        <w:rPr>
          <w:color w:val="auto"/>
          <w:sz w:val="20"/>
          <w:highlight w:val="none"/>
        </w:rPr>
      </w:pPr>
    </w:p>
    <w:p>
      <w:pPr>
        <w:keepNext w:val="0"/>
        <w:keepLines w:val="0"/>
        <w:pageBreakBefore w:val="0"/>
        <w:widowControl w:val="0"/>
        <w:kinsoku/>
        <w:overflowPunct/>
        <w:topLinePunct w:val="0"/>
        <w:bidi w:val="0"/>
        <w:spacing w:line="360" w:lineRule="auto"/>
        <w:textAlignment w:val="auto"/>
        <w:rPr>
          <w:color w:val="auto"/>
          <w:sz w:val="20"/>
          <w:highlight w:val="none"/>
        </w:rPr>
      </w:pPr>
    </w:p>
    <w:p>
      <w:pPr>
        <w:keepNext w:val="0"/>
        <w:keepLines w:val="0"/>
        <w:pageBreakBefore w:val="0"/>
        <w:widowControl w:val="0"/>
        <w:kinsoku/>
        <w:overflowPunct/>
        <w:topLinePunct w:val="0"/>
        <w:bidi w:val="0"/>
        <w:spacing w:line="360" w:lineRule="auto"/>
        <w:textAlignment w:val="auto"/>
        <w:rPr>
          <w:color w:val="auto"/>
          <w:sz w:val="20"/>
          <w:highlight w:val="none"/>
        </w:rPr>
      </w:pPr>
    </w:p>
    <w:p>
      <w:pPr>
        <w:pStyle w:val="2"/>
        <w:keepNext w:val="0"/>
        <w:keepLines w:val="0"/>
        <w:pageBreakBefore w:val="0"/>
        <w:widowControl w:val="0"/>
        <w:kinsoku/>
        <w:overflowPunct/>
        <w:topLinePunct w:val="0"/>
        <w:bidi w:val="0"/>
        <w:ind w:left="431" w:hanging="431"/>
        <w:textAlignment w:val="auto"/>
        <w:rPr>
          <w:color w:val="auto"/>
          <w:highlight w:val="none"/>
        </w:rPr>
      </w:pPr>
      <w:bookmarkStart w:id="63" w:name="_Toc55544846"/>
      <w:bookmarkStart w:id="64" w:name="_Toc29134"/>
      <w:r>
        <w:rPr>
          <w:rFonts w:hint="eastAsia"/>
          <w:color w:val="auto"/>
          <w:highlight w:val="none"/>
        </w:rPr>
        <w:t>法定代表人授权委托书格式</w:t>
      </w:r>
      <w:bookmarkEnd w:id="63"/>
      <w:bookmarkEnd w:id="64"/>
    </w:p>
    <w:p>
      <w:pPr>
        <w:keepNext w:val="0"/>
        <w:keepLines w:val="0"/>
        <w:pageBreakBefore w:val="0"/>
        <w:widowControl w:val="0"/>
        <w:kinsoku/>
        <w:overflowPunct/>
        <w:topLinePunct w:val="0"/>
        <w:bidi w:val="0"/>
        <w:adjustRightInd w:val="0"/>
        <w:snapToGrid w:val="0"/>
        <w:spacing w:line="360" w:lineRule="auto"/>
        <w:textAlignment w:val="auto"/>
        <w:rPr>
          <w:rFonts w:ascii="宋体"/>
          <w:color w:val="auto"/>
          <w:highlight w:val="none"/>
        </w:rPr>
      </w:pPr>
    </w:p>
    <w:p>
      <w:pPr>
        <w:pStyle w:val="6"/>
        <w:keepNext w:val="0"/>
        <w:keepLines w:val="0"/>
        <w:pageBreakBefore w:val="0"/>
        <w:widowControl w:val="0"/>
        <w:kinsoku/>
        <w:overflowPunct/>
        <w:topLinePunct w:val="0"/>
        <w:bidi w:val="0"/>
        <w:jc w:val="center"/>
        <w:textAlignment w:val="auto"/>
        <w:rPr>
          <w:b/>
          <w:color w:val="auto"/>
          <w:sz w:val="32"/>
          <w:highlight w:val="none"/>
        </w:rPr>
      </w:pPr>
      <w:r>
        <w:rPr>
          <w:rFonts w:hint="eastAsia"/>
          <w:b/>
          <w:color w:val="auto"/>
          <w:sz w:val="32"/>
          <w:highlight w:val="none"/>
        </w:rPr>
        <w:t>法定代表人授权委托书</w:t>
      </w:r>
    </w:p>
    <w:p>
      <w:pPr>
        <w:pStyle w:val="6"/>
        <w:keepNext w:val="0"/>
        <w:keepLines w:val="0"/>
        <w:pageBreakBefore w:val="0"/>
        <w:widowControl w:val="0"/>
        <w:kinsoku/>
        <w:overflowPunct/>
        <w:topLinePunct w:val="0"/>
        <w:bidi w:val="0"/>
        <w:textAlignment w:val="auto"/>
        <w:rPr>
          <w:color w:val="auto"/>
          <w:highlight w:val="none"/>
        </w:rPr>
      </w:pPr>
    </w:p>
    <w:p>
      <w:pPr>
        <w:keepNext w:val="0"/>
        <w:keepLines w:val="0"/>
        <w:pageBreakBefore w:val="0"/>
        <w:widowControl w:val="0"/>
        <w:kinsoku/>
        <w:overflowPunct/>
        <w:topLinePunct w:val="0"/>
        <w:bidi w:val="0"/>
        <w:textAlignment w:val="auto"/>
        <w:rPr>
          <w:rFonts w:ascii="宋体" w:hAnsi="Courier New"/>
          <w:color w:val="auto"/>
          <w:kern w:val="0"/>
          <w:sz w:val="20"/>
          <w:highlight w:val="none"/>
        </w:rPr>
      </w:pPr>
      <w:r>
        <w:rPr>
          <w:rFonts w:hint="eastAsia" w:ascii="宋体" w:hAnsi="Courier New"/>
          <w:color w:val="auto"/>
          <w:kern w:val="0"/>
          <w:sz w:val="20"/>
          <w:highlight w:val="none"/>
        </w:rPr>
        <w:t>致:</w:t>
      </w:r>
      <w:r>
        <w:rPr>
          <w:rFonts w:ascii="宋体" w:hAnsi="Courier New"/>
          <w:color w:val="auto"/>
          <w:kern w:val="0"/>
          <w:sz w:val="20"/>
          <w:highlight w:val="none"/>
        </w:rPr>
        <w:t>四川天府银行股份有限公司</w:t>
      </w:r>
    </w:p>
    <w:p>
      <w:pPr>
        <w:pStyle w:val="6"/>
        <w:keepNext w:val="0"/>
        <w:keepLines w:val="0"/>
        <w:pageBreakBefore w:val="0"/>
        <w:widowControl w:val="0"/>
        <w:kinsoku/>
        <w:overflowPunct/>
        <w:topLinePunct w:val="0"/>
        <w:bidi w:val="0"/>
        <w:ind w:firstLine="400" w:firstLineChars="200"/>
        <w:textAlignment w:val="auto"/>
        <w:rPr>
          <w:color w:val="auto"/>
          <w:highlight w:val="none"/>
        </w:rPr>
      </w:pPr>
      <w:r>
        <w:rPr>
          <w:rFonts w:hint="eastAsia"/>
          <w:color w:val="auto"/>
          <w:highlight w:val="none"/>
        </w:rPr>
        <w:t>本授权书声明：</w:t>
      </w:r>
      <w:r>
        <w:rPr>
          <w:rFonts w:hint="eastAsia"/>
          <w:i/>
          <w:color w:val="auto"/>
          <w:highlight w:val="none"/>
          <w:u w:val="single"/>
        </w:rPr>
        <w:t>（法定代表人姓名）</w:t>
      </w:r>
      <w:r>
        <w:rPr>
          <w:rFonts w:hint="eastAsia"/>
          <w:color w:val="auto"/>
          <w:highlight w:val="none"/>
        </w:rPr>
        <w:t>为本公司（注册于</w:t>
      </w:r>
      <w:r>
        <w:rPr>
          <w:rFonts w:hint="eastAsia"/>
          <w:i/>
          <w:color w:val="auto"/>
          <w:highlight w:val="none"/>
        </w:rPr>
        <w:t>（</w:t>
      </w:r>
      <w:r>
        <w:rPr>
          <w:rFonts w:hint="eastAsia"/>
          <w:i/>
          <w:color w:val="auto"/>
          <w:highlight w:val="none"/>
          <w:u w:val="single"/>
        </w:rPr>
        <w:t>省、市、县）</w:t>
      </w:r>
      <w:r>
        <w:rPr>
          <w:rFonts w:hint="eastAsia"/>
          <w:color w:val="auto"/>
          <w:highlight w:val="none"/>
        </w:rPr>
        <w:t>的</w:t>
      </w:r>
      <w:r>
        <w:rPr>
          <w:rFonts w:hint="eastAsia"/>
          <w:i/>
          <w:color w:val="auto"/>
          <w:highlight w:val="none"/>
          <w:u w:val="single"/>
        </w:rPr>
        <w:t>（投标人名称）</w:t>
      </w:r>
      <w:r>
        <w:rPr>
          <w:rFonts w:hint="eastAsia"/>
          <w:color w:val="auto"/>
          <w:highlight w:val="none"/>
        </w:rPr>
        <w:t>）的法定代表人，现任</w:t>
      </w:r>
      <w:r>
        <w:rPr>
          <w:rFonts w:hint="eastAsia"/>
          <w:i/>
          <w:color w:val="auto"/>
          <w:highlight w:val="none"/>
          <w:u w:val="single"/>
        </w:rPr>
        <w:t>（法定代表人职务）</w:t>
      </w:r>
      <w:r>
        <w:rPr>
          <w:rFonts w:hint="eastAsia"/>
          <w:color w:val="auto"/>
          <w:highlight w:val="none"/>
        </w:rPr>
        <w:t>。在此代表本企业授权</w:t>
      </w:r>
      <w:r>
        <w:rPr>
          <w:rFonts w:hint="eastAsia"/>
          <w:i/>
          <w:color w:val="auto"/>
          <w:highlight w:val="none"/>
          <w:u w:val="single"/>
        </w:rPr>
        <w:t>（被授权人姓名、职务）</w:t>
      </w:r>
      <w:r>
        <w:rPr>
          <w:rFonts w:hint="eastAsia"/>
          <w:color w:val="auto"/>
          <w:highlight w:val="none"/>
        </w:rPr>
        <w:t>作为我公司的全权代理人，在</w:t>
      </w:r>
      <w:r>
        <w:rPr>
          <w:rFonts w:hint="eastAsia"/>
          <w:i/>
          <w:color w:val="auto"/>
          <w:highlight w:val="none"/>
          <w:u w:val="single"/>
        </w:rPr>
        <w:t>（项目名称）</w:t>
      </w:r>
      <w:r>
        <w:rPr>
          <w:rFonts w:hint="eastAsia"/>
          <w:color w:val="auto"/>
          <w:highlight w:val="none"/>
        </w:rPr>
        <w:t>的投标及其合同执行过程中，以我方的名义处理一切与之有关的事务。</w:t>
      </w:r>
    </w:p>
    <w:p>
      <w:pPr>
        <w:pStyle w:val="6"/>
        <w:keepNext w:val="0"/>
        <w:keepLines w:val="0"/>
        <w:pageBreakBefore w:val="0"/>
        <w:widowControl w:val="0"/>
        <w:kinsoku/>
        <w:overflowPunct/>
        <w:topLinePunct w:val="0"/>
        <w:bidi w:val="0"/>
        <w:textAlignment w:val="auto"/>
        <w:rPr>
          <w:color w:val="auto"/>
          <w:highlight w:val="none"/>
        </w:rPr>
      </w:pPr>
    </w:p>
    <w:p>
      <w:pPr>
        <w:pStyle w:val="6"/>
        <w:keepNext w:val="0"/>
        <w:keepLines w:val="0"/>
        <w:pageBreakBefore w:val="0"/>
        <w:widowControl w:val="0"/>
        <w:kinsoku/>
        <w:overflowPunct/>
        <w:topLinePunct w:val="0"/>
        <w:bidi w:val="0"/>
        <w:textAlignment w:val="auto"/>
        <w:rPr>
          <w:color w:val="auto"/>
          <w:highlight w:val="none"/>
        </w:rPr>
      </w:pPr>
    </w:p>
    <w:p>
      <w:pPr>
        <w:keepNext w:val="0"/>
        <w:keepLines w:val="0"/>
        <w:pageBreakBefore w:val="0"/>
        <w:widowControl w:val="0"/>
        <w:kinsoku/>
        <w:overflowPunct/>
        <w:topLinePunct w:val="0"/>
        <w:bidi w:val="0"/>
        <w:ind w:firstLine="420" w:firstLineChars="200"/>
        <w:textAlignment w:val="auto"/>
        <w:rPr>
          <w:rFonts w:ascii="宋体"/>
          <w:color w:val="auto"/>
          <w:highlight w:val="none"/>
        </w:rPr>
      </w:pPr>
      <w:r>
        <w:rPr>
          <w:rFonts w:hint="eastAsia" w:ascii="宋体"/>
          <w:color w:val="auto"/>
          <w:highlight w:val="none"/>
        </w:rPr>
        <w:t>本授权书于年月日签字生效，特此声明。</w:t>
      </w:r>
    </w:p>
    <w:p>
      <w:pPr>
        <w:keepNext w:val="0"/>
        <w:keepLines w:val="0"/>
        <w:pageBreakBefore w:val="0"/>
        <w:widowControl w:val="0"/>
        <w:kinsoku/>
        <w:overflowPunct/>
        <w:topLinePunct w:val="0"/>
        <w:bidi w:val="0"/>
        <w:textAlignment w:val="auto"/>
        <w:rPr>
          <w:rFonts w:ascii="宋体"/>
          <w:color w:val="auto"/>
          <w:highlight w:val="none"/>
        </w:rPr>
      </w:pPr>
    </w:p>
    <w:p>
      <w:pPr>
        <w:keepNext w:val="0"/>
        <w:keepLines w:val="0"/>
        <w:pageBreakBefore w:val="0"/>
        <w:widowControl w:val="0"/>
        <w:kinsoku/>
        <w:overflowPunct/>
        <w:topLinePunct w:val="0"/>
        <w:bidi w:val="0"/>
        <w:textAlignment w:val="auto"/>
        <w:rPr>
          <w:rFonts w:ascii="宋体"/>
          <w:color w:val="auto"/>
          <w:highlight w:val="none"/>
        </w:rPr>
      </w:pPr>
    </w:p>
    <w:p>
      <w:pPr>
        <w:keepNext w:val="0"/>
        <w:keepLines w:val="0"/>
        <w:pageBreakBefore w:val="0"/>
        <w:widowControl w:val="0"/>
        <w:kinsoku/>
        <w:overflowPunct/>
        <w:topLinePunct w:val="0"/>
        <w:bidi w:val="0"/>
        <w:textAlignment w:val="auto"/>
        <w:rPr>
          <w:rFonts w:ascii="宋体"/>
          <w:color w:val="auto"/>
          <w:highlight w:val="none"/>
        </w:rPr>
      </w:pPr>
    </w:p>
    <w:p>
      <w:pPr>
        <w:keepNext w:val="0"/>
        <w:keepLines w:val="0"/>
        <w:pageBreakBefore w:val="0"/>
        <w:widowControl w:val="0"/>
        <w:kinsoku/>
        <w:overflowPunct/>
        <w:topLinePunct w:val="0"/>
        <w:bidi w:val="0"/>
        <w:textAlignment w:val="auto"/>
        <w:rPr>
          <w:rFonts w:ascii="宋体"/>
          <w:color w:val="auto"/>
          <w:highlight w:val="none"/>
        </w:rPr>
      </w:pPr>
    </w:p>
    <w:p>
      <w:pPr>
        <w:keepNext w:val="0"/>
        <w:keepLines w:val="0"/>
        <w:pageBreakBefore w:val="0"/>
        <w:widowControl w:val="0"/>
        <w:kinsoku/>
        <w:overflowPunct/>
        <w:topLinePunct w:val="0"/>
        <w:bidi w:val="0"/>
        <w:textAlignment w:val="auto"/>
        <w:rPr>
          <w:rFonts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ascii="宋体"/>
          <w:color w:val="auto"/>
          <w:highlight w:val="none"/>
        </w:rPr>
      </w:pPr>
      <w:r>
        <w:rPr>
          <w:rFonts w:hint="eastAsia" w:ascii="宋体"/>
          <w:color w:val="auto"/>
          <w:highlight w:val="none"/>
        </w:rPr>
        <w:t>投标人（公章）：</w:t>
      </w:r>
    </w:p>
    <w:p>
      <w:pPr>
        <w:keepNext w:val="0"/>
        <w:keepLines w:val="0"/>
        <w:pageBreakBefore w:val="0"/>
        <w:widowControl w:val="0"/>
        <w:kinsoku/>
        <w:overflowPunct/>
        <w:topLinePunct w:val="0"/>
        <w:bidi w:val="0"/>
        <w:ind w:left="1159" w:leftChars="552" w:firstLine="2261"/>
        <w:textAlignment w:val="auto"/>
        <w:rPr>
          <w:rFonts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ascii="宋体"/>
          <w:color w:val="auto"/>
          <w:highlight w:val="none"/>
        </w:rPr>
      </w:pPr>
      <w:r>
        <w:rPr>
          <w:rFonts w:hint="eastAsia" w:ascii="宋体"/>
          <w:color w:val="auto"/>
          <w:highlight w:val="none"/>
        </w:rPr>
        <w:t>地      址：</w:t>
      </w:r>
    </w:p>
    <w:p>
      <w:pPr>
        <w:keepNext w:val="0"/>
        <w:keepLines w:val="0"/>
        <w:pageBreakBefore w:val="0"/>
        <w:widowControl w:val="0"/>
        <w:kinsoku/>
        <w:overflowPunct/>
        <w:topLinePunct w:val="0"/>
        <w:bidi w:val="0"/>
        <w:ind w:left="1159" w:leftChars="552" w:firstLine="2261"/>
        <w:textAlignment w:val="auto"/>
        <w:rPr>
          <w:rFonts w:ascii="宋体"/>
          <w:color w:val="auto"/>
          <w:highlight w:val="none"/>
        </w:rPr>
      </w:pPr>
    </w:p>
    <w:p>
      <w:pPr>
        <w:keepNext w:val="0"/>
        <w:keepLines w:val="0"/>
        <w:pageBreakBefore w:val="0"/>
        <w:widowControl w:val="0"/>
        <w:tabs>
          <w:tab w:val="left" w:pos="3780"/>
        </w:tabs>
        <w:kinsoku/>
        <w:overflowPunct/>
        <w:topLinePunct w:val="0"/>
        <w:bidi w:val="0"/>
        <w:ind w:left="1159" w:leftChars="552" w:firstLine="2261"/>
        <w:textAlignment w:val="auto"/>
        <w:rPr>
          <w:rFonts w:ascii="宋体"/>
          <w:color w:val="auto"/>
          <w:highlight w:val="none"/>
        </w:rPr>
      </w:pPr>
      <w:r>
        <w:rPr>
          <w:rFonts w:hint="eastAsia" w:ascii="宋体"/>
          <w:color w:val="auto"/>
          <w:highlight w:val="none"/>
        </w:rPr>
        <w:t>法定代表人（签字或盖章）：</w:t>
      </w:r>
    </w:p>
    <w:p>
      <w:pPr>
        <w:keepNext w:val="0"/>
        <w:keepLines w:val="0"/>
        <w:pageBreakBefore w:val="0"/>
        <w:widowControl w:val="0"/>
        <w:kinsoku/>
        <w:overflowPunct/>
        <w:topLinePunct w:val="0"/>
        <w:bidi w:val="0"/>
        <w:ind w:left="1159" w:leftChars="552" w:firstLine="2261"/>
        <w:textAlignment w:val="auto"/>
        <w:rPr>
          <w:rFonts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r>
        <w:rPr>
          <w:rFonts w:hint="eastAsia" w:ascii="宋体"/>
          <w:color w:val="auto"/>
          <w:spacing w:val="20"/>
          <w:highlight w:val="none"/>
        </w:rPr>
        <w:t>被授权人（签字或盖章）</w:t>
      </w:r>
      <w:r>
        <w:rPr>
          <w:rFonts w:hint="eastAsia" w:ascii="宋体"/>
          <w:color w:val="auto"/>
          <w:highlight w:val="none"/>
        </w:rPr>
        <w:t>：</w:t>
      </w: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ind w:left="1159" w:leftChars="552" w:firstLine="2261"/>
        <w:textAlignment w:val="auto"/>
        <w:rPr>
          <w:rFonts w:hint="eastAsia" w:ascii="宋体"/>
          <w:color w:val="auto"/>
          <w:highlight w:val="none"/>
        </w:rPr>
      </w:pPr>
    </w:p>
    <w:p>
      <w:pPr>
        <w:keepNext w:val="0"/>
        <w:keepLines w:val="0"/>
        <w:pageBreakBefore w:val="0"/>
        <w:widowControl w:val="0"/>
        <w:kinsoku/>
        <w:overflowPunct/>
        <w:topLinePunct w:val="0"/>
        <w:bidi w:val="0"/>
        <w:textAlignment w:val="auto"/>
        <w:rPr>
          <w:rFonts w:hint="eastAsia" w:ascii="宋体"/>
          <w:color w:val="auto"/>
          <w:highlight w:val="none"/>
        </w:rPr>
      </w:pPr>
    </w:p>
    <w:p>
      <w:pPr>
        <w:keepNext w:val="0"/>
        <w:keepLines w:val="0"/>
        <w:pageBreakBefore w:val="0"/>
        <w:widowControl w:val="0"/>
        <w:kinsoku/>
        <w:overflowPunct/>
        <w:topLinePunct w:val="0"/>
        <w:bidi w:val="0"/>
        <w:textAlignment w:val="auto"/>
        <w:rPr>
          <w:color w:val="auto"/>
          <w:highlight w:val="none"/>
        </w:rPr>
      </w:pPr>
    </w:p>
    <w:p>
      <w:pPr>
        <w:pStyle w:val="2"/>
        <w:keepNext w:val="0"/>
        <w:keepLines w:val="0"/>
        <w:pageBreakBefore w:val="0"/>
        <w:widowControl w:val="0"/>
        <w:kinsoku/>
        <w:overflowPunct/>
        <w:topLinePunct w:val="0"/>
        <w:bidi w:val="0"/>
        <w:ind w:left="431" w:hanging="431"/>
        <w:textAlignment w:val="auto"/>
        <w:rPr>
          <w:color w:val="auto"/>
          <w:highlight w:val="none"/>
        </w:rPr>
      </w:pPr>
      <w:bookmarkStart w:id="65" w:name="_Toc55544849"/>
      <w:bookmarkStart w:id="66" w:name="_Toc19481"/>
      <w:r>
        <w:rPr>
          <w:rFonts w:hint="eastAsia"/>
          <w:color w:val="auto"/>
          <w:highlight w:val="none"/>
        </w:rPr>
        <w:t>资格声明格式</w:t>
      </w:r>
      <w:bookmarkEnd w:id="65"/>
      <w:bookmarkEnd w:id="66"/>
    </w:p>
    <w:p>
      <w:pPr>
        <w:keepNext w:val="0"/>
        <w:keepLines w:val="0"/>
        <w:pageBreakBefore w:val="0"/>
        <w:widowControl w:val="0"/>
        <w:kinsoku/>
        <w:overflowPunct/>
        <w:topLinePunct w:val="0"/>
        <w:bidi w:val="0"/>
        <w:spacing w:before="120"/>
        <w:jc w:val="center"/>
        <w:textAlignment w:val="auto"/>
        <w:rPr>
          <w:rFonts w:ascii="宋体"/>
          <w:b/>
          <w:color w:val="auto"/>
          <w:sz w:val="32"/>
          <w:highlight w:val="none"/>
        </w:rPr>
      </w:pPr>
      <w:r>
        <w:rPr>
          <w:rFonts w:hint="eastAsia" w:ascii="宋体"/>
          <w:b/>
          <w:color w:val="auto"/>
          <w:sz w:val="32"/>
          <w:highlight w:val="none"/>
        </w:rPr>
        <w:t>资 格 声 明</w:t>
      </w:r>
    </w:p>
    <w:p>
      <w:pPr>
        <w:keepNext w:val="0"/>
        <w:keepLines w:val="0"/>
        <w:pageBreakBefore w:val="0"/>
        <w:widowControl w:val="0"/>
        <w:kinsoku/>
        <w:overflowPunct/>
        <w:topLinePunct w:val="0"/>
        <w:bidi w:val="0"/>
        <w:textAlignment w:val="auto"/>
        <w:rPr>
          <w:rFonts w:ascii="宋体" w:hAnsi="Courier New"/>
          <w:color w:val="auto"/>
          <w:kern w:val="0"/>
          <w:sz w:val="20"/>
          <w:highlight w:val="none"/>
        </w:rPr>
      </w:pPr>
      <w:r>
        <w:rPr>
          <w:rFonts w:hint="eastAsia" w:ascii="宋体" w:hAnsi="Courier New"/>
          <w:color w:val="auto"/>
          <w:kern w:val="0"/>
          <w:sz w:val="20"/>
          <w:highlight w:val="none"/>
        </w:rPr>
        <w:t>致:</w:t>
      </w:r>
      <w:r>
        <w:rPr>
          <w:rFonts w:ascii="宋体" w:hAnsi="Courier New"/>
          <w:color w:val="auto"/>
          <w:kern w:val="0"/>
          <w:sz w:val="20"/>
          <w:highlight w:val="none"/>
        </w:rPr>
        <w:t>四川天府银行股份有限公司</w:t>
      </w:r>
    </w:p>
    <w:p>
      <w:pPr>
        <w:keepNext w:val="0"/>
        <w:keepLines w:val="0"/>
        <w:pageBreakBefore w:val="0"/>
        <w:widowControl w:val="0"/>
        <w:kinsoku/>
        <w:overflowPunct/>
        <w:topLinePunct w:val="0"/>
        <w:bidi w:val="0"/>
        <w:ind w:firstLine="420" w:firstLineChars="200"/>
        <w:textAlignment w:val="auto"/>
        <w:rPr>
          <w:color w:val="auto"/>
          <w:highlight w:val="none"/>
        </w:rPr>
      </w:pPr>
      <w:r>
        <w:rPr>
          <w:rFonts w:hint="eastAsia" w:ascii="宋体"/>
          <w:color w:val="auto"/>
          <w:highlight w:val="none"/>
        </w:rPr>
        <w:t>下述投标人愿响应你方    年  月  日的投标邀请，参与投标，提供符合需</w:t>
      </w:r>
      <w:r>
        <w:rPr>
          <w:rFonts w:hint="eastAsia"/>
          <w:color w:val="auto"/>
          <w:highlight w:val="none"/>
        </w:rPr>
        <w:t>求说明书中的要求，并按招标文件要求提交所附资格文件且声明和保证如下：</w:t>
      </w:r>
    </w:p>
    <w:p>
      <w:pPr>
        <w:keepNext w:val="0"/>
        <w:keepLines w:val="0"/>
        <w:pageBreakBefore w:val="0"/>
        <w:widowControl w:val="0"/>
        <w:kinsoku/>
        <w:overflowPunct/>
        <w:topLinePunct w:val="0"/>
        <w:bidi w:val="0"/>
        <w:ind w:firstLine="420" w:firstLineChars="200"/>
        <w:textAlignment w:val="auto"/>
        <w:rPr>
          <w:color w:val="auto"/>
          <w:highlight w:val="none"/>
        </w:rPr>
      </w:pPr>
      <w:r>
        <w:rPr>
          <w:rFonts w:hint="eastAsia"/>
          <w:color w:val="auto"/>
          <w:highlight w:val="none"/>
        </w:rPr>
        <w:t>1、我方所提交的所有文件材料是真实的、完整的、合法的、有效的，我方愿为其真实性、完整性、合法性、有效性承担法律责任；</w:t>
      </w:r>
    </w:p>
    <w:p>
      <w:pPr>
        <w:keepNext w:val="0"/>
        <w:keepLines w:val="0"/>
        <w:pageBreakBefore w:val="0"/>
        <w:widowControl w:val="0"/>
        <w:kinsoku/>
        <w:overflowPunct/>
        <w:topLinePunct w:val="0"/>
        <w:bidi w:val="0"/>
        <w:ind w:firstLine="420" w:firstLineChars="200"/>
        <w:textAlignment w:val="auto"/>
        <w:rPr>
          <w:color w:val="auto"/>
          <w:highlight w:val="none"/>
        </w:rPr>
      </w:pPr>
      <w:r>
        <w:rPr>
          <w:rFonts w:hint="eastAsia"/>
          <w:color w:val="auto"/>
          <w:highlight w:val="none"/>
        </w:rPr>
        <w:t>2、我方是依法注册的法人，在法律上、财务上和运作上完全独立于招标人。</w:t>
      </w:r>
    </w:p>
    <w:p>
      <w:pPr>
        <w:keepNext w:val="0"/>
        <w:keepLines w:val="0"/>
        <w:pageBreakBefore w:val="0"/>
        <w:widowControl w:val="0"/>
        <w:kinsoku/>
        <w:overflowPunct/>
        <w:topLinePunct w:val="0"/>
        <w:bidi w:val="0"/>
        <w:ind w:firstLine="420" w:firstLineChars="200"/>
        <w:textAlignment w:val="auto"/>
        <w:rPr>
          <w:color w:val="auto"/>
          <w:highlight w:val="none"/>
        </w:rPr>
      </w:pPr>
      <w:r>
        <w:rPr>
          <w:rFonts w:hint="eastAsia"/>
          <w:color w:val="auto"/>
          <w:highlight w:val="none"/>
        </w:rPr>
        <w:t>3、我方在经营活动及参与有关采购活动中没有重大违法活动及涉嫌违规行为，并没有因而被有关部门警告或处分的记录。</w:t>
      </w:r>
    </w:p>
    <w:p>
      <w:pPr>
        <w:keepNext w:val="0"/>
        <w:keepLines w:val="0"/>
        <w:pageBreakBefore w:val="0"/>
        <w:widowControl w:val="0"/>
        <w:kinsoku/>
        <w:overflowPunct/>
        <w:topLinePunct w:val="0"/>
        <w:autoSpaceDE w:val="0"/>
        <w:autoSpaceDN w:val="0"/>
        <w:bidi w:val="0"/>
        <w:adjustRightInd w:val="0"/>
        <w:ind w:firstLine="420" w:firstLineChars="200"/>
        <w:textAlignment w:val="auto"/>
        <w:rPr>
          <w:rFonts w:ascii="宋体"/>
          <w:color w:val="auto"/>
          <w:highlight w:val="none"/>
        </w:rPr>
      </w:pPr>
      <w:r>
        <w:rPr>
          <w:rFonts w:hint="eastAsia" w:ascii="宋体"/>
          <w:color w:val="auto"/>
          <w:highlight w:val="none"/>
        </w:rPr>
        <w:t>4</w:t>
      </w:r>
      <w:r>
        <w:rPr>
          <w:rFonts w:ascii="宋体"/>
          <w:color w:val="auto"/>
          <w:highlight w:val="none"/>
        </w:rPr>
        <w:t xml:space="preserve">. </w:t>
      </w:r>
      <w:r>
        <w:rPr>
          <w:rFonts w:hint="eastAsia" w:ascii="宋体"/>
          <w:color w:val="auto"/>
          <w:highlight w:val="none"/>
        </w:rPr>
        <w:t>我方提供的产品及相关服务与招标文件的要求一致。</w:t>
      </w:r>
    </w:p>
    <w:p>
      <w:pPr>
        <w:keepNext w:val="0"/>
        <w:keepLines w:val="0"/>
        <w:pageBreakBefore w:val="0"/>
        <w:widowControl w:val="0"/>
        <w:kinsoku/>
        <w:overflowPunct/>
        <w:topLinePunct w:val="0"/>
        <w:autoSpaceDE w:val="0"/>
        <w:autoSpaceDN w:val="0"/>
        <w:bidi w:val="0"/>
        <w:adjustRightInd w:val="0"/>
        <w:ind w:firstLine="420" w:firstLineChars="200"/>
        <w:textAlignment w:val="auto"/>
        <w:rPr>
          <w:rFonts w:hint="eastAsia" w:ascii="宋体"/>
          <w:color w:val="auto"/>
          <w:highlight w:val="none"/>
        </w:rPr>
      </w:pPr>
      <w:r>
        <w:rPr>
          <w:rFonts w:hint="eastAsia" w:ascii="宋体"/>
          <w:color w:val="auto"/>
          <w:highlight w:val="none"/>
        </w:rPr>
        <w:t>5</w:t>
      </w:r>
      <w:r>
        <w:rPr>
          <w:rFonts w:ascii="宋体"/>
          <w:color w:val="auto"/>
          <w:highlight w:val="none"/>
        </w:rPr>
        <w:t xml:space="preserve">. </w:t>
      </w:r>
      <w:r>
        <w:rPr>
          <w:rFonts w:hint="eastAsia" w:ascii="宋体"/>
          <w:color w:val="auto"/>
          <w:highlight w:val="none"/>
        </w:rPr>
        <w:t>我方提供的所有产品、技术及服务的原产地均应来自中华人民共和国或是与中华人民共和国有正常贸易往来的国家或地区。</w:t>
      </w:r>
    </w:p>
    <w:p>
      <w:pPr>
        <w:keepNext w:val="0"/>
        <w:keepLines w:val="0"/>
        <w:pageBreakBefore w:val="0"/>
        <w:widowControl w:val="0"/>
        <w:kinsoku/>
        <w:overflowPunct/>
        <w:topLinePunct w:val="0"/>
        <w:autoSpaceDE w:val="0"/>
        <w:autoSpaceDN w:val="0"/>
        <w:bidi w:val="0"/>
        <w:adjustRightInd w:val="0"/>
        <w:ind w:firstLine="420" w:firstLineChars="200"/>
        <w:textAlignment w:val="auto"/>
        <w:rPr>
          <w:rFonts w:ascii="宋体"/>
          <w:color w:val="auto"/>
          <w:highlight w:val="none"/>
        </w:rPr>
      </w:pPr>
      <w:r>
        <w:rPr>
          <w:rFonts w:hint="eastAsia" w:ascii="宋体"/>
          <w:color w:val="auto"/>
          <w:highlight w:val="none"/>
        </w:rPr>
        <w:t>6</w:t>
      </w:r>
      <w:r>
        <w:rPr>
          <w:rFonts w:ascii="宋体"/>
          <w:color w:val="auto"/>
          <w:highlight w:val="none"/>
        </w:rPr>
        <w:t xml:space="preserve">. </w:t>
      </w:r>
      <w:r>
        <w:rPr>
          <w:rFonts w:hint="eastAsia" w:ascii="宋体"/>
          <w:color w:val="auto"/>
          <w:highlight w:val="none"/>
        </w:rPr>
        <w:t>我方在递交投标文件之前或同时，应当自行负责调查、评估其所在国家或地区法律或政府政策对于其向</w:t>
      </w:r>
      <w:r>
        <w:rPr>
          <w:rFonts w:hint="eastAsia"/>
          <w:color w:val="auto"/>
          <w:highlight w:val="none"/>
        </w:rPr>
        <w:t>招标</w:t>
      </w:r>
      <w:r>
        <w:rPr>
          <w:rFonts w:hint="eastAsia" w:ascii="宋体"/>
          <w:color w:val="auto"/>
          <w:highlight w:val="none"/>
        </w:rPr>
        <w:t>人供应本项目所需的软件、系统、技术等一切产品和服务可能涉及或存在的批准、审查、许可证、登记、备案或其他类似的要求或障碍，并应当向</w:t>
      </w:r>
      <w:r>
        <w:rPr>
          <w:rFonts w:hint="eastAsia"/>
          <w:color w:val="auto"/>
          <w:highlight w:val="none"/>
        </w:rPr>
        <w:t>招标</w:t>
      </w:r>
      <w:r>
        <w:rPr>
          <w:rFonts w:hint="eastAsia" w:ascii="宋体"/>
          <w:color w:val="auto"/>
          <w:highlight w:val="none"/>
        </w:rPr>
        <w:t>人充分披露该要求或障碍（如有），以及其可能需要的程序、时间、导致的技术或法律上的影响。如果我方未能履行这一披露和提示义务，而在项目谈判或签约后的过程中导致本项目谈判或实施进程的中断、延误、障碍或其他损失，我方自行承担相应的赔偿责任。</w:t>
      </w:r>
    </w:p>
    <w:p>
      <w:pPr>
        <w:keepNext w:val="0"/>
        <w:keepLines w:val="0"/>
        <w:pageBreakBefore w:val="0"/>
        <w:widowControl w:val="0"/>
        <w:kinsoku/>
        <w:overflowPunct/>
        <w:topLinePunct w:val="0"/>
        <w:autoSpaceDE w:val="0"/>
        <w:autoSpaceDN w:val="0"/>
        <w:bidi w:val="0"/>
        <w:adjustRightInd w:val="0"/>
        <w:ind w:firstLine="420" w:firstLineChars="200"/>
        <w:textAlignment w:val="auto"/>
        <w:rPr>
          <w:rFonts w:ascii="宋体"/>
          <w:color w:val="auto"/>
          <w:highlight w:val="none"/>
        </w:rPr>
      </w:pPr>
      <w:r>
        <w:rPr>
          <w:rFonts w:hint="eastAsia" w:ascii="宋体"/>
          <w:color w:val="auto"/>
          <w:highlight w:val="none"/>
        </w:rPr>
        <w:t>7</w:t>
      </w:r>
      <w:r>
        <w:rPr>
          <w:rFonts w:ascii="宋体"/>
          <w:color w:val="auto"/>
          <w:highlight w:val="none"/>
        </w:rPr>
        <w:t xml:space="preserve">. </w:t>
      </w:r>
      <w:r>
        <w:rPr>
          <w:rFonts w:hint="eastAsia" w:ascii="宋体"/>
          <w:color w:val="auto"/>
          <w:highlight w:val="none"/>
        </w:rPr>
        <w:t>我方保证，我方已经从其合法所有人得到了合法、适当的授权，并保证其产品、技术和服务均不侵犯任何第三人的版权、专利权、商标权或其他形式的知识产权，亦不侵犯任何第三人的商业秘密或其他权利。招标人有权因为我方提供虚假、错误或误导性信息而拒绝我方参加投标，并保留依照所适用法律可能享有的进一步追诉的所有权利。</w:t>
      </w:r>
    </w:p>
    <w:p>
      <w:pPr>
        <w:keepNext w:val="0"/>
        <w:keepLines w:val="0"/>
        <w:pageBreakBefore w:val="0"/>
        <w:widowControl w:val="0"/>
        <w:kinsoku/>
        <w:overflowPunct/>
        <w:topLinePunct w:val="0"/>
        <w:autoSpaceDE w:val="0"/>
        <w:autoSpaceDN w:val="0"/>
        <w:bidi w:val="0"/>
        <w:adjustRightInd w:val="0"/>
        <w:ind w:firstLine="420" w:firstLineChars="200"/>
        <w:textAlignment w:val="auto"/>
        <w:rPr>
          <w:rFonts w:ascii="宋体"/>
          <w:color w:val="auto"/>
          <w:highlight w:val="none"/>
        </w:rPr>
      </w:pPr>
      <w:r>
        <w:rPr>
          <w:rFonts w:hint="eastAsia" w:ascii="宋体"/>
          <w:color w:val="auto"/>
          <w:highlight w:val="none"/>
        </w:rPr>
        <w:t>8</w:t>
      </w:r>
      <w:r>
        <w:rPr>
          <w:rFonts w:ascii="宋体"/>
          <w:color w:val="auto"/>
          <w:highlight w:val="none"/>
        </w:rPr>
        <w:t xml:space="preserve">. </w:t>
      </w:r>
      <w:r>
        <w:rPr>
          <w:rFonts w:hint="eastAsia" w:ascii="宋体"/>
          <w:color w:val="auto"/>
          <w:highlight w:val="none"/>
        </w:rPr>
        <w:t>我方保证，招标人在中华人民共和国使用产品或产品的任何一部分时，如因使用我方提供的产品或服务而受到第三方关于侵犯版权、专利权、商标权或其他形式的知识产权的指控或其它指控，由我方与该第三方交涉，采取措施使招标人免受第三方提出侵犯其专利权或其它知识产权的起诉，并对招标人承担相应的赔偿责任。</w:t>
      </w:r>
    </w:p>
    <w:p>
      <w:pPr>
        <w:keepNext w:val="0"/>
        <w:keepLines w:val="0"/>
        <w:pageBreakBefore w:val="0"/>
        <w:widowControl w:val="0"/>
        <w:kinsoku/>
        <w:overflowPunct/>
        <w:topLinePunct w:val="0"/>
        <w:bidi w:val="0"/>
        <w:ind w:firstLine="420" w:firstLineChars="200"/>
        <w:textAlignment w:val="auto"/>
        <w:rPr>
          <w:rFonts w:ascii="宋体"/>
          <w:color w:val="auto"/>
          <w:highlight w:val="none"/>
        </w:rPr>
      </w:pPr>
      <w:r>
        <w:rPr>
          <w:rFonts w:hint="eastAsia" w:ascii="宋体"/>
          <w:color w:val="auto"/>
          <w:highlight w:val="none"/>
        </w:rPr>
        <w:t>我公司承诺，上述声明及保证均为真实、有效的，如存在隐瞒、欺骗等情形，由此产生的一切后果，由我方自行承担。</w:t>
      </w:r>
    </w:p>
    <w:p>
      <w:pPr>
        <w:keepNext w:val="0"/>
        <w:keepLines w:val="0"/>
        <w:pageBreakBefore w:val="0"/>
        <w:widowControl w:val="0"/>
        <w:kinsoku/>
        <w:overflowPunct/>
        <w:topLinePunct w:val="0"/>
        <w:bidi w:val="0"/>
        <w:ind w:firstLine="420" w:firstLineChars="200"/>
        <w:textAlignment w:val="auto"/>
        <w:rPr>
          <w:rFonts w:ascii="宋体"/>
          <w:color w:val="auto"/>
          <w:highlight w:val="none"/>
        </w:rPr>
      </w:pPr>
      <w:r>
        <w:rPr>
          <w:rFonts w:hint="eastAsia" w:ascii="宋体"/>
          <w:color w:val="auto"/>
          <w:highlight w:val="none"/>
        </w:rPr>
        <w:t>特此声明！</w:t>
      </w:r>
    </w:p>
    <w:p>
      <w:pPr>
        <w:pStyle w:val="6"/>
        <w:keepNext w:val="0"/>
        <w:keepLines w:val="0"/>
        <w:pageBreakBefore w:val="0"/>
        <w:widowControl w:val="0"/>
        <w:tabs>
          <w:tab w:val="left" w:pos="4500"/>
        </w:tabs>
        <w:kinsoku/>
        <w:overflowPunct/>
        <w:topLinePunct w:val="0"/>
        <w:bidi w:val="0"/>
        <w:ind w:left="208" w:leftChars="99" w:firstLine="514" w:firstLineChars="257"/>
        <w:textAlignment w:val="auto"/>
        <w:rPr>
          <w:color w:val="auto"/>
          <w:highlight w:val="none"/>
        </w:rPr>
      </w:pPr>
    </w:p>
    <w:p>
      <w:pPr>
        <w:keepNext w:val="0"/>
        <w:keepLines w:val="0"/>
        <w:pageBreakBefore w:val="0"/>
        <w:widowControl w:val="0"/>
        <w:kinsoku/>
        <w:overflowPunct/>
        <w:topLinePunct w:val="0"/>
        <w:bidi w:val="0"/>
        <w:ind w:firstLine="4830" w:firstLineChars="2300"/>
        <w:textAlignment w:val="auto"/>
        <w:rPr>
          <w:rFonts w:ascii="宋体"/>
          <w:color w:val="auto"/>
          <w:highlight w:val="none"/>
        </w:rPr>
      </w:pPr>
      <w:r>
        <w:rPr>
          <w:rFonts w:hint="eastAsia" w:ascii="宋体"/>
          <w:color w:val="auto"/>
          <w:highlight w:val="none"/>
        </w:rPr>
        <w:t>投标人（公章）</w:t>
      </w:r>
      <w:r>
        <w:rPr>
          <w:rFonts w:hint="eastAsia" w:ascii="宋体"/>
          <w:color w:val="auto"/>
          <w:highlight w:val="none"/>
        </w:rPr>
        <w:tab/>
      </w:r>
      <w:r>
        <w:rPr>
          <w:rFonts w:hint="eastAsia" w:ascii="宋体"/>
          <w:color w:val="auto"/>
          <w:highlight w:val="none"/>
        </w:rPr>
        <w:t>授权签字人</w:t>
      </w:r>
    </w:p>
    <w:p>
      <w:pPr>
        <w:keepNext w:val="0"/>
        <w:keepLines w:val="0"/>
        <w:pageBreakBefore w:val="0"/>
        <w:widowControl w:val="0"/>
        <w:kinsoku/>
        <w:overflowPunct/>
        <w:topLinePunct w:val="0"/>
        <w:bidi w:val="0"/>
        <w:ind w:firstLine="4830" w:firstLineChars="2300"/>
        <w:textAlignment w:val="auto"/>
        <w:rPr>
          <w:rFonts w:ascii="宋体"/>
          <w:color w:val="auto"/>
          <w:highlight w:val="none"/>
        </w:rPr>
      </w:pPr>
      <w:r>
        <w:rPr>
          <w:rFonts w:hint="eastAsia" w:ascii="宋体"/>
          <w:color w:val="auto"/>
          <w:highlight w:val="none"/>
        </w:rPr>
        <w:t>名称：</w:t>
      </w:r>
      <w:r>
        <w:rPr>
          <w:rFonts w:hint="eastAsia" w:ascii="宋体"/>
          <w:color w:val="auto"/>
          <w:highlight w:val="none"/>
        </w:rPr>
        <w:tab/>
      </w:r>
      <w:r>
        <w:rPr>
          <w:rFonts w:hint="eastAsia" w:ascii="宋体"/>
          <w:color w:val="auto"/>
          <w:highlight w:val="none"/>
        </w:rPr>
        <w:t>姓名：</w:t>
      </w:r>
    </w:p>
    <w:p>
      <w:pPr>
        <w:keepNext w:val="0"/>
        <w:keepLines w:val="0"/>
        <w:pageBreakBefore w:val="0"/>
        <w:widowControl w:val="0"/>
        <w:kinsoku/>
        <w:overflowPunct/>
        <w:topLinePunct w:val="0"/>
        <w:bidi w:val="0"/>
        <w:ind w:firstLine="4830" w:firstLineChars="2300"/>
        <w:textAlignment w:val="auto"/>
        <w:rPr>
          <w:rFonts w:ascii="宋体"/>
          <w:color w:val="auto"/>
          <w:highlight w:val="none"/>
        </w:rPr>
      </w:pPr>
      <w:r>
        <w:rPr>
          <w:rFonts w:hint="eastAsia" w:ascii="宋体"/>
          <w:color w:val="auto"/>
          <w:highlight w:val="none"/>
        </w:rPr>
        <w:t>地址：</w:t>
      </w:r>
      <w:r>
        <w:rPr>
          <w:rFonts w:hint="eastAsia" w:ascii="宋体"/>
          <w:color w:val="auto"/>
          <w:highlight w:val="none"/>
        </w:rPr>
        <w:tab/>
      </w:r>
      <w:r>
        <w:rPr>
          <w:rFonts w:hint="eastAsia" w:ascii="宋体"/>
          <w:color w:val="auto"/>
          <w:highlight w:val="none"/>
        </w:rPr>
        <w:t>职务：</w:t>
      </w:r>
    </w:p>
    <w:p>
      <w:pPr>
        <w:keepNext w:val="0"/>
        <w:keepLines w:val="0"/>
        <w:pageBreakBefore w:val="0"/>
        <w:widowControl w:val="0"/>
        <w:kinsoku/>
        <w:overflowPunct/>
        <w:topLinePunct w:val="0"/>
        <w:bidi w:val="0"/>
        <w:ind w:firstLine="4830" w:firstLineChars="2300"/>
        <w:textAlignment w:val="auto"/>
        <w:rPr>
          <w:rFonts w:ascii="宋体"/>
          <w:color w:val="auto"/>
          <w:highlight w:val="none"/>
        </w:rPr>
      </w:pPr>
      <w:r>
        <w:rPr>
          <w:rFonts w:hint="eastAsia" w:ascii="宋体"/>
          <w:color w:val="auto"/>
          <w:highlight w:val="none"/>
        </w:rPr>
        <w:t>邮编：</w:t>
      </w:r>
      <w:r>
        <w:rPr>
          <w:rFonts w:hint="eastAsia" w:ascii="宋体"/>
          <w:color w:val="auto"/>
          <w:highlight w:val="none"/>
        </w:rPr>
        <w:tab/>
      </w:r>
      <w:r>
        <w:rPr>
          <w:rFonts w:hint="eastAsia" w:ascii="宋体"/>
          <w:color w:val="auto"/>
          <w:highlight w:val="none"/>
        </w:rPr>
        <w:t>签名：</w:t>
      </w:r>
    </w:p>
    <w:p>
      <w:pPr>
        <w:keepNext w:val="0"/>
        <w:keepLines w:val="0"/>
        <w:pageBreakBefore w:val="0"/>
        <w:widowControl w:val="0"/>
        <w:tabs>
          <w:tab w:val="left" w:pos="4500"/>
        </w:tabs>
        <w:kinsoku/>
        <w:overflowPunct/>
        <w:topLinePunct w:val="0"/>
        <w:bidi w:val="0"/>
        <w:ind w:left="208" w:leftChars="99" w:firstLine="539" w:firstLineChars="257"/>
        <w:textAlignment w:val="auto"/>
        <w:rPr>
          <w:rFonts w:ascii="宋体"/>
          <w:color w:val="auto"/>
          <w:highlight w:val="none"/>
          <w:u w:val="single"/>
        </w:rPr>
      </w:pPr>
    </w:p>
    <w:p>
      <w:pPr>
        <w:keepNext w:val="0"/>
        <w:keepLines w:val="0"/>
        <w:pageBreakBefore w:val="0"/>
        <w:widowControl w:val="0"/>
        <w:tabs>
          <w:tab w:val="left" w:pos="4500"/>
        </w:tabs>
        <w:kinsoku/>
        <w:overflowPunct/>
        <w:topLinePunct w:val="0"/>
        <w:bidi w:val="0"/>
        <w:ind w:left="208" w:leftChars="99" w:firstLine="539" w:firstLineChars="257"/>
        <w:textAlignment w:val="auto"/>
        <w:rPr>
          <w:rFonts w:ascii="宋体"/>
          <w:color w:val="auto"/>
          <w:highlight w:val="none"/>
          <w:u w:val="single"/>
        </w:rPr>
      </w:pPr>
    </w:p>
    <w:p>
      <w:pPr>
        <w:keepNext w:val="0"/>
        <w:keepLines w:val="0"/>
        <w:pageBreakBefore w:val="0"/>
        <w:widowControl w:val="0"/>
        <w:tabs>
          <w:tab w:val="left" w:pos="4500"/>
        </w:tabs>
        <w:kinsoku/>
        <w:overflowPunct/>
        <w:topLinePunct w:val="0"/>
        <w:bidi w:val="0"/>
        <w:ind w:left="208" w:leftChars="99" w:firstLine="539" w:firstLineChars="257"/>
        <w:textAlignment w:val="auto"/>
        <w:rPr>
          <w:rFonts w:ascii="宋体"/>
          <w:color w:val="auto"/>
          <w:highlight w:val="none"/>
          <w:u w:val="single"/>
        </w:rPr>
      </w:pPr>
    </w:p>
    <w:p>
      <w:pPr>
        <w:keepNext w:val="0"/>
        <w:keepLines w:val="0"/>
        <w:pageBreakBefore w:val="0"/>
        <w:widowControl w:val="0"/>
        <w:tabs>
          <w:tab w:val="left" w:pos="4500"/>
        </w:tabs>
        <w:kinsoku/>
        <w:overflowPunct/>
        <w:topLinePunct w:val="0"/>
        <w:bidi w:val="0"/>
        <w:ind w:left="208" w:leftChars="99" w:firstLine="539" w:firstLineChars="257"/>
        <w:textAlignment w:val="auto"/>
        <w:rPr>
          <w:rFonts w:ascii="宋体"/>
          <w:color w:val="auto"/>
          <w:highlight w:val="none"/>
          <w:u w:val="single"/>
        </w:rPr>
      </w:pPr>
    </w:p>
    <w:p>
      <w:pPr>
        <w:keepNext w:val="0"/>
        <w:keepLines w:val="0"/>
        <w:pageBreakBefore w:val="0"/>
        <w:widowControl w:val="0"/>
        <w:tabs>
          <w:tab w:val="left" w:pos="4500"/>
        </w:tabs>
        <w:kinsoku/>
        <w:overflowPunct/>
        <w:topLinePunct w:val="0"/>
        <w:bidi w:val="0"/>
        <w:ind w:left="208" w:leftChars="99" w:firstLine="539" w:firstLineChars="257"/>
        <w:textAlignment w:val="auto"/>
        <w:rPr>
          <w:rFonts w:ascii="宋体"/>
          <w:color w:val="auto"/>
          <w:highlight w:val="none"/>
          <w:u w:val="single"/>
        </w:rPr>
      </w:pPr>
    </w:p>
    <w:p>
      <w:pPr>
        <w:pStyle w:val="2"/>
        <w:keepNext w:val="0"/>
        <w:keepLines w:val="0"/>
        <w:pageBreakBefore w:val="0"/>
        <w:widowControl w:val="0"/>
        <w:kinsoku/>
        <w:overflowPunct/>
        <w:topLinePunct w:val="0"/>
        <w:bidi w:val="0"/>
        <w:ind w:left="431" w:hanging="431"/>
        <w:textAlignment w:val="auto"/>
        <w:rPr>
          <w:color w:val="auto"/>
          <w:highlight w:val="none"/>
        </w:rPr>
      </w:pPr>
      <w:bookmarkStart w:id="67" w:name="_Toc10648"/>
      <w:r>
        <w:rPr>
          <w:rFonts w:hint="eastAsia"/>
          <w:color w:val="auto"/>
          <w:highlight w:val="none"/>
          <w:lang w:val="en-US" w:eastAsia="zh-CN"/>
        </w:rPr>
        <w:t>商务资格审查文件</w:t>
      </w:r>
      <w:bookmarkEnd w:id="67"/>
    </w:p>
    <w:p>
      <w:pPr>
        <w:autoSpaceDE w:val="0"/>
        <w:autoSpaceDN w:val="0"/>
        <w:adjustRightInd w:val="0"/>
        <w:spacing w:line="360" w:lineRule="auto"/>
        <w:jc w:val="center"/>
        <w:outlineLvl w:val="0"/>
        <w:rPr>
          <w:rFonts w:hint="eastAsia" w:ascii="宋体" w:hAnsi="宋体" w:eastAsia="宋体" w:cs="宋体"/>
          <w:b/>
          <w:sz w:val="21"/>
          <w:szCs w:val="21"/>
        </w:rPr>
      </w:pPr>
      <w:bookmarkStart w:id="68" w:name="_Toc26797"/>
      <w:r>
        <w:rPr>
          <w:rFonts w:hint="eastAsia" w:ascii="宋体" w:hAnsi="宋体" w:eastAsia="宋体" w:cs="宋体"/>
          <w:b/>
          <w:sz w:val="21"/>
          <w:szCs w:val="21"/>
        </w:rPr>
        <w:t>商务资格审查文件</w:t>
      </w:r>
      <w:bookmarkEnd w:id="68"/>
    </w:p>
    <w:p>
      <w:pPr>
        <w:spacing w:line="360" w:lineRule="auto"/>
        <w:rPr>
          <w:rFonts w:hint="eastAsia" w:ascii="宋体" w:hAnsi="宋体" w:eastAsia="宋体" w:cs="宋体"/>
          <w:sz w:val="21"/>
          <w:szCs w:val="21"/>
        </w:rPr>
      </w:pPr>
      <w:r>
        <w:rPr>
          <w:rFonts w:hint="eastAsia" w:ascii="宋体" w:hAnsi="宋体" w:eastAsia="宋体" w:cs="宋体"/>
          <w:sz w:val="21"/>
          <w:szCs w:val="21"/>
        </w:rPr>
        <w:t>1. 投标人资格简表</w:t>
      </w:r>
    </w:p>
    <w:tbl>
      <w:tblPr>
        <w:tblStyle w:val="13"/>
        <w:tblW w:w="8145" w:type="dxa"/>
        <w:tblInd w:w="3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60"/>
        <w:gridCol w:w="2160"/>
        <w:gridCol w:w="1980"/>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r>
              <w:rPr>
                <w:rFonts w:hint="eastAsia" w:ascii="宋体" w:hAnsi="宋体" w:eastAsia="宋体" w:cs="宋体"/>
                <w:sz w:val="21"/>
                <w:szCs w:val="21"/>
              </w:rPr>
              <w:t>企 业 名 称</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r>
              <w:rPr>
                <w:rFonts w:hint="eastAsia" w:ascii="宋体" w:hAnsi="宋体" w:eastAsia="宋体" w:cs="宋体"/>
                <w:sz w:val="21"/>
                <w:szCs w:val="21"/>
              </w:rPr>
              <w:t>企 业 类 型</w:t>
            </w: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r>
              <w:rPr>
                <w:rFonts w:hint="eastAsia" w:ascii="宋体" w:hAnsi="宋体" w:eastAsia="宋体" w:cs="宋体"/>
                <w:sz w:val="21"/>
                <w:szCs w:val="21"/>
              </w:rPr>
              <w:t>地   址</w:t>
            </w:r>
          </w:p>
        </w:tc>
        <w:tc>
          <w:tcPr>
            <w:tcW w:w="5985"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r>
              <w:rPr>
                <w:rFonts w:hint="eastAsia" w:ascii="宋体" w:hAnsi="宋体" w:eastAsia="宋体" w:cs="宋体"/>
                <w:sz w:val="21"/>
                <w:szCs w:val="21"/>
              </w:rPr>
              <w:t>法 定 代 表 人</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r>
              <w:rPr>
                <w:rFonts w:hint="eastAsia" w:ascii="宋体" w:hAnsi="宋体" w:eastAsia="宋体" w:cs="宋体"/>
                <w:sz w:val="21"/>
                <w:szCs w:val="21"/>
              </w:rPr>
              <w:t>授 权 代 表 人</w:t>
            </w: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r>
              <w:rPr>
                <w:rFonts w:hint="eastAsia" w:ascii="宋体" w:hAnsi="宋体" w:eastAsia="宋体" w:cs="宋体"/>
                <w:sz w:val="21"/>
                <w:szCs w:val="21"/>
              </w:rPr>
              <w:t>授权代表电话</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r>
              <w:rPr>
                <w:rFonts w:hint="eastAsia" w:ascii="宋体" w:hAnsi="宋体" w:eastAsia="宋体" w:cs="宋体"/>
                <w:sz w:val="21"/>
                <w:szCs w:val="21"/>
              </w:rPr>
              <w:t>传   真</w:t>
            </w: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r>
              <w:rPr>
                <w:rFonts w:hint="eastAsia" w:ascii="宋体" w:hAnsi="宋体" w:eastAsia="宋体" w:cs="宋体"/>
                <w:sz w:val="21"/>
                <w:szCs w:val="21"/>
              </w:rPr>
              <w:t>员 工 人 数</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r>
              <w:rPr>
                <w:rFonts w:hint="eastAsia" w:ascii="宋体" w:hAnsi="宋体" w:eastAsia="宋体" w:cs="宋体"/>
                <w:sz w:val="21"/>
                <w:szCs w:val="21"/>
              </w:rPr>
              <w:t>税  号</w:t>
            </w: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8145"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b/>
                <w:sz w:val="21"/>
                <w:szCs w:val="21"/>
              </w:rPr>
              <w:t>企业近三年经营情况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项目</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资产负债率</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营业利润率</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p>
        </w:tc>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p>
        </w:tc>
        <w:tc>
          <w:tcPr>
            <w:tcW w:w="18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sz w:val="21"/>
                <w:szCs w:val="21"/>
              </w:rPr>
            </w:pPr>
          </w:p>
        </w:tc>
      </w:tr>
    </w:tbl>
    <w:p>
      <w:pPr>
        <w:autoSpaceDE w:val="0"/>
        <w:autoSpaceDN w:val="0"/>
        <w:adjustRightInd w:val="0"/>
        <w:spacing w:before="156" w:beforeLines="50" w:line="360" w:lineRule="auto"/>
        <w:rPr>
          <w:rFonts w:hint="eastAsia" w:ascii="宋体" w:hAnsi="宋体" w:eastAsia="宋体" w:cs="宋体"/>
          <w:sz w:val="21"/>
          <w:szCs w:val="21"/>
          <w:lang w:eastAsia="zh-CN"/>
        </w:rPr>
      </w:pPr>
      <w:r>
        <w:rPr>
          <w:rFonts w:hint="eastAsia" w:ascii="宋体" w:hAnsi="宋体" w:eastAsia="宋体" w:cs="宋体"/>
          <w:sz w:val="21"/>
          <w:szCs w:val="21"/>
        </w:rPr>
        <w:t>2. 公司简介</w:t>
      </w:r>
      <w:r>
        <w:rPr>
          <w:rFonts w:hint="eastAsia" w:ascii="宋体" w:hAnsi="宋体" w:cs="宋体"/>
          <w:sz w:val="21"/>
          <w:szCs w:val="21"/>
          <w:lang w:eastAsia="zh-CN"/>
        </w:rPr>
        <w:t>。</w:t>
      </w:r>
    </w:p>
    <w:p>
      <w:pPr>
        <w:autoSpaceDE w:val="0"/>
        <w:autoSpaceDN w:val="0"/>
        <w:adjustRightInd w:val="0"/>
        <w:spacing w:before="156" w:beforeLines="50" w:line="360" w:lineRule="auto"/>
        <w:rPr>
          <w:rFonts w:hint="eastAsia" w:ascii="宋体" w:hAnsi="宋体" w:eastAsia="宋体" w:cs="宋体"/>
          <w:sz w:val="21"/>
          <w:szCs w:val="21"/>
        </w:rPr>
      </w:pPr>
      <w:r>
        <w:rPr>
          <w:rFonts w:hint="eastAsia" w:ascii="宋体" w:hAnsi="宋体" w:eastAsia="宋体" w:cs="宋体"/>
          <w:sz w:val="21"/>
          <w:szCs w:val="21"/>
        </w:rPr>
        <w:t xml:space="preserve">3. </w:t>
      </w:r>
      <w:r>
        <w:rPr>
          <w:rFonts w:hint="eastAsia" w:ascii="宋体" w:hAnsi="宋体" w:cs="宋体"/>
          <w:sz w:val="21"/>
          <w:szCs w:val="21"/>
          <w:lang w:val="en-US" w:eastAsia="zh-CN"/>
        </w:rPr>
        <w:t>投标人资质证明文件</w:t>
      </w:r>
      <w:r>
        <w:rPr>
          <w:rFonts w:hint="eastAsia" w:ascii="宋体" w:hAnsi="宋体" w:eastAsia="宋体" w:cs="宋体"/>
          <w:sz w:val="21"/>
          <w:szCs w:val="21"/>
        </w:rPr>
        <w:t>。</w:t>
      </w:r>
    </w:p>
    <w:p>
      <w:pPr>
        <w:autoSpaceDE w:val="0"/>
        <w:autoSpaceDN w:val="0"/>
        <w:adjustRightInd w:val="0"/>
        <w:spacing w:before="156" w:beforeLines="50" w:line="360" w:lineRule="auto"/>
        <w:rPr>
          <w:rFonts w:hint="eastAsia" w:ascii="宋体" w:hAnsi="宋体" w:eastAsia="宋体" w:cs="宋体"/>
          <w:sz w:val="21"/>
          <w:szCs w:val="21"/>
        </w:rPr>
      </w:pPr>
      <w:r>
        <w:rPr>
          <w:rFonts w:hint="eastAsia" w:ascii="宋体" w:hAnsi="宋体" w:eastAsia="宋体" w:cs="宋体"/>
          <w:sz w:val="21"/>
          <w:szCs w:val="21"/>
        </w:rPr>
        <w:t>4. 质量和售后服务等的承诺。</w:t>
      </w:r>
    </w:p>
    <w:p>
      <w:pPr>
        <w:autoSpaceDE w:val="0"/>
        <w:autoSpaceDN w:val="0"/>
        <w:adjustRightInd w:val="0"/>
        <w:spacing w:before="156" w:beforeLines="50" w:line="360" w:lineRule="auto"/>
        <w:ind w:left="360" w:hanging="315" w:hangingChars="15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 负责本项目投标及合同执行的项目经理及相关人员（简介、以往工作经历、职责等）。</w:t>
      </w:r>
    </w:p>
    <w:p>
      <w:pPr>
        <w:pStyle w:val="7"/>
        <w:spacing w:before="156" w:beforeLines="50"/>
        <w:ind w:firstLine="315" w:firstLineChars="150"/>
        <w:rPr>
          <w:rFonts w:hint="eastAsia" w:ascii="宋体" w:hAnsi="宋体" w:eastAsia="宋体" w:cs="宋体"/>
          <w:sz w:val="21"/>
          <w:szCs w:val="21"/>
        </w:rPr>
      </w:pPr>
      <w:r>
        <w:rPr>
          <w:rFonts w:hint="eastAsia" w:ascii="宋体" w:hAnsi="宋体" w:eastAsia="宋体" w:cs="宋体"/>
          <w:sz w:val="21"/>
          <w:szCs w:val="21"/>
        </w:rPr>
        <w:t>我们已按上述要求提供了现有的全部文件、资料，并对所提供的文件、资料的真实性承担责任。</w:t>
      </w:r>
    </w:p>
    <w:p>
      <w:pPr>
        <w:autoSpaceDE w:val="0"/>
        <w:autoSpaceDN w:val="0"/>
        <w:adjustRightInd w:val="0"/>
        <w:spacing w:line="360" w:lineRule="auto"/>
        <w:rPr>
          <w:rFonts w:hint="eastAsia" w:ascii="宋体" w:hAnsi="宋体" w:eastAsia="宋体" w:cs="宋体"/>
          <w:sz w:val="21"/>
          <w:szCs w:val="21"/>
        </w:rPr>
      </w:pPr>
    </w:p>
    <w:p>
      <w:pPr>
        <w:autoSpaceDE w:val="0"/>
        <w:autoSpaceDN w:val="0"/>
        <w:adjustRightInd w:val="0"/>
        <w:spacing w:line="360" w:lineRule="auto"/>
        <w:rPr>
          <w:rFonts w:hint="eastAsia" w:ascii="宋体" w:hAnsi="宋体" w:eastAsia="宋体" w:cs="宋体"/>
          <w:sz w:val="21"/>
          <w:szCs w:val="21"/>
        </w:rPr>
      </w:pPr>
    </w:p>
    <w:p>
      <w:pPr>
        <w:autoSpaceDE w:val="0"/>
        <w:autoSpaceDN w:val="0"/>
        <w:adjustRightInd w:val="0"/>
        <w:spacing w:line="360" w:lineRule="auto"/>
        <w:rPr>
          <w:rFonts w:hint="eastAsia" w:ascii="宋体" w:hAnsi="宋体" w:eastAsia="宋体" w:cs="宋体"/>
          <w:sz w:val="21"/>
          <w:szCs w:val="21"/>
        </w:rPr>
      </w:pPr>
    </w:p>
    <w:p>
      <w:pPr>
        <w:autoSpaceDE w:val="0"/>
        <w:autoSpaceDN w:val="0"/>
        <w:adjustRightInd w:val="0"/>
        <w:spacing w:line="360" w:lineRule="auto"/>
        <w:ind w:left="1260" w:leftChars="600" w:right="420" w:firstLine="1043" w:firstLineChars="497"/>
        <w:rPr>
          <w:rFonts w:hint="eastAsia" w:ascii="宋体" w:hAnsi="宋体" w:eastAsia="宋体" w:cs="宋体"/>
          <w:b w:val="0"/>
          <w:bCs/>
          <w:sz w:val="21"/>
          <w:szCs w:val="21"/>
        </w:rPr>
      </w:pPr>
      <w:r>
        <w:rPr>
          <w:rFonts w:hint="eastAsia" w:ascii="宋体" w:hAnsi="宋体" w:eastAsia="宋体" w:cs="宋体"/>
          <w:b w:val="0"/>
          <w:bCs/>
          <w:sz w:val="21"/>
          <w:szCs w:val="21"/>
        </w:rPr>
        <w:t>投标人名称：</w:t>
      </w:r>
    </w:p>
    <w:p>
      <w:pPr>
        <w:autoSpaceDE w:val="0"/>
        <w:autoSpaceDN w:val="0"/>
        <w:adjustRightInd w:val="0"/>
        <w:spacing w:line="360" w:lineRule="auto"/>
        <w:ind w:left="1260" w:leftChars="600" w:right="420"/>
        <w:jc w:val="center"/>
        <w:outlineLvl w:val="0"/>
        <w:rPr>
          <w:rFonts w:hint="eastAsia" w:ascii="宋体" w:hAnsi="宋体" w:eastAsia="宋体" w:cs="宋体"/>
          <w:sz w:val="21"/>
          <w:szCs w:val="21"/>
          <w:u w:val="single"/>
        </w:rPr>
      </w:pPr>
      <w:r>
        <w:rPr>
          <w:rFonts w:hint="eastAsia" w:ascii="宋体" w:hAnsi="宋体" w:cs="宋体"/>
          <w:b w:val="0"/>
          <w:bCs/>
          <w:sz w:val="21"/>
          <w:szCs w:val="21"/>
          <w:lang w:val="en-US" w:eastAsia="zh-CN"/>
        </w:rPr>
        <w:t xml:space="preserve">    </w:t>
      </w:r>
      <w:bookmarkStart w:id="69" w:name="_Toc3752"/>
      <w:r>
        <w:rPr>
          <w:rFonts w:hint="eastAsia" w:ascii="宋体" w:hAnsi="宋体" w:eastAsia="宋体" w:cs="宋体"/>
          <w:b w:val="0"/>
          <w:bCs/>
          <w:sz w:val="21"/>
          <w:szCs w:val="21"/>
        </w:rPr>
        <w:t>法定代表人或授权代表（只填写姓名）：</w:t>
      </w:r>
      <w:bookmarkEnd w:id="69"/>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autoSpaceDE w:val="0"/>
        <w:autoSpaceDN w:val="0"/>
        <w:adjustRightInd w:val="0"/>
        <w:spacing w:line="360" w:lineRule="auto"/>
        <w:ind w:right="420" w:firstLine="1260"/>
        <w:jc w:val="center"/>
        <w:outlineLvl w:val="0"/>
        <w:rPr>
          <w:rFonts w:hint="eastAsia" w:ascii="宋体" w:hAnsi="宋体" w:eastAsia="宋体" w:cs="宋体"/>
          <w:sz w:val="21"/>
          <w:szCs w:val="21"/>
        </w:rPr>
      </w:pPr>
      <w:r>
        <w:rPr>
          <w:rFonts w:hint="eastAsia" w:ascii="宋体" w:hAnsi="宋体" w:eastAsia="宋体" w:cs="宋体"/>
          <w:sz w:val="21"/>
          <w:szCs w:val="21"/>
        </w:rPr>
        <w:t xml:space="preserve">                         </w:t>
      </w:r>
      <w:bookmarkStart w:id="70" w:name="_Toc30005"/>
      <w:r>
        <w:rPr>
          <w:rFonts w:hint="eastAsia" w:ascii="宋体" w:hAnsi="宋体" w:eastAsia="宋体" w:cs="宋体"/>
          <w:sz w:val="21"/>
          <w:szCs w:val="21"/>
        </w:rPr>
        <w:t>日期：</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年</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月</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日</w:t>
      </w:r>
      <w:bookmarkEnd w:id="70"/>
    </w:p>
    <w:p>
      <w:pPr>
        <w:keepNext w:val="0"/>
        <w:keepLines w:val="0"/>
        <w:pageBreakBefore w:val="0"/>
        <w:widowControl w:val="0"/>
        <w:kinsoku/>
        <w:overflowPunct/>
        <w:topLinePunct w:val="0"/>
        <w:bidi w:val="0"/>
        <w:textAlignment w:val="auto"/>
      </w:pPr>
    </w:p>
    <w:sectPr>
      <w:footerReference r:id="rId4" w:type="default"/>
      <w:pgSz w:w="11906" w:h="16838"/>
      <w:pgMar w:top="1440" w:right="1797" w:bottom="1440" w:left="179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inline distT="0" distB="0" distL="114300" distR="114300">
          <wp:extent cx="1813560" cy="365125"/>
          <wp:effectExtent l="0" t="0" r="15240" b="15875"/>
          <wp:docPr id="2" name="图片 1" descr="四川天府银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四川天府银行LOGO"/>
                  <pic:cNvPicPr>
                    <a:picLocks noChangeAspect="1"/>
                  </pic:cNvPicPr>
                </pic:nvPicPr>
                <pic:blipFill>
                  <a:blip r:embed="rId1"/>
                  <a:stretch>
                    <a:fillRect/>
                  </a:stretch>
                </pic:blipFill>
                <pic:spPr>
                  <a:xfrm>
                    <a:off x="0" y="0"/>
                    <a:ext cx="1813560" cy="365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13"/>
    <w:multiLevelType w:val="multilevel"/>
    <w:tmpl w:val="00000013"/>
    <w:lvl w:ilvl="0" w:tentative="0">
      <w:start w:val="1"/>
      <w:numFmt w:val="decimal"/>
      <w:lvlText w:val="（%1）"/>
      <w:lvlJc w:val="left"/>
      <w:pPr>
        <w:tabs>
          <w:tab w:val="left" w:pos="1440"/>
        </w:tabs>
        <w:ind w:left="1440" w:hanging="720"/>
      </w:pPr>
      <w:rPr>
        <w:rFonts w:hint="default"/>
      </w:rPr>
    </w:lvl>
    <w:lvl w:ilvl="1" w:tentative="0">
      <w:start w:val="5"/>
      <w:numFmt w:val="decimal"/>
      <w:lvlText w:val="%2."/>
      <w:lvlJc w:val="left"/>
      <w:pPr>
        <w:tabs>
          <w:tab w:val="left" w:pos="1770"/>
        </w:tabs>
        <w:ind w:left="1770" w:hanging="630"/>
      </w:pPr>
      <w:rPr>
        <w:rFonts w:hint="default" w:hAnsi="Times New Roman"/>
      </w:rPr>
    </w:lvl>
    <w:lvl w:ilvl="2" w:tentative="0">
      <w:start w:val="1"/>
      <w:numFmt w:val="japaneseCounting"/>
      <w:lvlText w:val="%3、"/>
      <w:lvlJc w:val="left"/>
      <w:pPr>
        <w:tabs>
          <w:tab w:val="left" w:pos="1980"/>
        </w:tabs>
        <w:ind w:left="1980" w:hanging="420"/>
      </w:pPr>
      <w:rPr>
        <w:rFonts w:hint="default"/>
      </w:rPr>
    </w:lvl>
    <w:lvl w:ilvl="3" w:tentative="0">
      <w:start w:val="3"/>
      <w:numFmt w:val="decimal"/>
      <w:lvlText w:val="%4．"/>
      <w:lvlJc w:val="left"/>
      <w:pPr>
        <w:tabs>
          <w:tab w:val="left" w:pos="2340"/>
        </w:tabs>
        <w:ind w:left="2340" w:hanging="360"/>
      </w:pPr>
      <w:rPr>
        <w:rFonts w:hint="default" w:ascii="宋体"/>
      </w:r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47067EFF"/>
    <w:multiLevelType w:val="multilevel"/>
    <w:tmpl w:val="47067EFF"/>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3">
    <w:nsid w:val="7A044208"/>
    <w:multiLevelType w:val="multilevel"/>
    <w:tmpl w:val="7A044208"/>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4">
    <w:nsid w:val="7FA82252"/>
    <w:multiLevelType w:val="multilevel"/>
    <w:tmpl w:val="7FA82252"/>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71DA4"/>
    <w:rsid w:val="014E1FD0"/>
    <w:rsid w:val="01E305A8"/>
    <w:rsid w:val="02C709D4"/>
    <w:rsid w:val="03521A83"/>
    <w:rsid w:val="03F637F0"/>
    <w:rsid w:val="056B2768"/>
    <w:rsid w:val="05FA3FAA"/>
    <w:rsid w:val="06436553"/>
    <w:rsid w:val="07134DF0"/>
    <w:rsid w:val="07252831"/>
    <w:rsid w:val="084859A3"/>
    <w:rsid w:val="089970C0"/>
    <w:rsid w:val="095E5797"/>
    <w:rsid w:val="0B402DE5"/>
    <w:rsid w:val="0BE0558A"/>
    <w:rsid w:val="0BF56429"/>
    <w:rsid w:val="0BF906B3"/>
    <w:rsid w:val="0C121F21"/>
    <w:rsid w:val="0C506B43"/>
    <w:rsid w:val="0D6840C0"/>
    <w:rsid w:val="0D7A6610"/>
    <w:rsid w:val="0DA40D91"/>
    <w:rsid w:val="0DC8391D"/>
    <w:rsid w:val="0E9C44C3"/>
    <w:rsid w:val="0FC762BB"/>
    <w:rsid w:val="104A3274"/>
    <w:rsid w:val="11C330EC"/>
    <w:rsid w:val="12263756"/>
    <w:rsid w:val="13C3447C"/>
    <w:rsid w:val="140C543B"/>
    <w:rsid w:val="14C26963"/>
    <w:rsid w:val="156B3533"/>
    <w:rsid w:val="174B3FB3"/>
    <w:rsid w:val="183539C6"/>
    <w:rsid w:val="185A6315"/>
    <w:rsid w:val="188F20DA"/>
    <w:rsid w:val="19440AD5"/>
    <w:rsid w:val="1A337C08"/>
    <w:rsid w:val="1B0F40F3"/>
    <w:rsid w:val="1D694681"/>
    <w:rsid w:val="1E05598C"/>
    <w:rsid w:val="1F270DE3"/>
    <w:rsid w:val="1F4D52C9"/>
    <w:rsid w:val="1FD67095"/>
    <w:rsid w:val="20395772"/>
    <w:rsid w:val="20436A3A"/>
    <w:rsid w:val="20E80BFD"/>
    <w:rsid w:val="22077B64"/>
    <w:rsid w:val="22AF0CB3"/>
    <w:rsid w:val="23543341"/>
    <w:rsid w:val="2387194A"/>
    <w:rsid w:val="249A1068"/>
    <w:rsid w:val="25A66623"/>
    <w:rsid w:val="25E87C64"/>
    <w:rsid w:val="275B002F"/>
    <w:rsid w:val="28176FFE"/>
    <w:rsid w:val="2843156E"/>
    <w:rsid w:val="28893497"/>
    <w:rsid w:val="29A11AD9"/>
    <w:rsid w:val="29CD13AE"/>
    <w:rsid w:val="2B386C2C"/>
    <w:rsid w:val="2BE60D3D"/>
    <w:rsid w:val="2D5E4A3C"/>
    <w:rsid w:val="2DC55296"/>
    <w:rsid w:val="2DE42A0F"/>
    <w:rsid w:val="2E047B0F"/>
    <w:rsid w:val="2E326AFC"/>
    <w:rsid w:val="2E5D570E"/>
    <w:rsid w:val="30F071FD"/>
    <w:rsid w:val="31144E94"/>
    <w:rsid w:val="31A31480"/>
    <w:rsid w:val="31B8211E"/>
    <w:rsid w:val="31C75B97"/>
    <w:rsid w:val="31F84FE0"/>
    <w:rsid w:val="335D0251"/>
    <w:rsid w:val="33A63843"/>
    <w:rsid w:val="33CA6686"/>
    <w:rsid w:val="35DC6CFF"/>
    <w:rsid w:val="3635432E"/>
    <w:rsid w:val="369D4B1D"/>
    <w:rsid w:val="36B424C7"/>
    <w:rsid w:val="36FC3247"/>
    <w:rsid w:val="37126AB2"/>
    <w:rsid w:val="37DF32B8"/>
    <w:rsid w:val="3845602F"/>
    <w:rsid w:val="389F3A3F"/>
    <w:rsid w:val="39985E8D"/>
    <w:rsid w:val="39AD25AF"/>
    <w:rsid w:val="3B111C96"/>
    <w:rsid w:val="3BFD7385"/>
    <w:rsid w:val="3C211CB3"/>
    <w:rsid w:val="3ECC5115"/>
    <w:rsid w:val="3EF3524D"/>
    <w:rsid w:val="3FEC3FA3"/>
    <w:rsid w:val="419B050B"/>
    <w:rsid w:val="41DF672F"/>
    <w:rsid w:val="41FA7370"/>
    <w:rsid w:val="43B807E2"/>
    <w:rsid w:val="45381AEB"/>
    <w:rsid w:val="46FF247D"/>
    <w:rsid w:val="482A1A6E"/>
    <w:rsid w:val="4C4857B4"/>
    <w:rsid w:val="4CFF4B0F"/>
    <w:rsid w:val="4D147203"/>
    <w:rsid w:val="4D1829A9"/>
    <w:rsid w:val="4ED86F3D"/>
    <w:rsid w:val="4EE07788"/>
    <w:rsid w:val="4FAD3644"/>
    <w:rsid w:val="50D263CD"/>
    <w:rsid w:val="522B3249"/>
    <w:rsid w:val="52CD4101"/>
    <w:rsid w:val="532D4B0B"/>
    <w:rsid w:val="54B46905"/>
    <w:rsid w:val="54EB6122"/>
    <w:rsid w:val="59F934DB"/>
    <w:rsid w:val="5A2C3BB2"/>
    <w:rsid w:val="5A870015"/>
    <w:rsid w:val="5AFD3ABC"/>
    <w:rsid w:val="5B0541C6"/>
    <w:rsid w:val="5C14521D"/>
    <w:rsid w:val="5C951537"/>
    <w:rsid w:val="5D475E27"/>
    <w:rsid w:val="5D87033A"/>
    <w:rsid w:val="5E8A2E06"/>
    <w:rsid w:val="5EFE3014"/>
    <w:rsid w:val="5FE5260D"/>
    <w:rsid w:val="60410FB0"/>
    <w:rsid w:val="60C35FB8"/>
    <w:rsid w:val="61701F70"/>
    <w:rsid w:val="62127771"/>
    <w:rsid w:val="63F02CDF"/>
    <w:rsid w:val="6584299C"/>
    <w:rsid w:val="66131908"/>
    <w:rsid w:val="66871F4B"/>
    <w:rsid w:val="67F56F1D"/>
    <w:rsid w:val="69B84C14"/>
    <w:rsid w:val="6A166B97"/>
    <w:rsid w:val="6BA114CA"/>
    <w:rsid w:val="6E622F73"/>
    <w:rsid w:val="6F1063C6"/>
    <w:rsid w:val="6FDF5799"/>
    <w:rsid w:val="72591622"/>
    <w:rsid w:val="725C7C41"/>
    <w:rsid w:val="72FA02C7"/>
    <w:rsid w:val="752A6DFC"/>
    <w:rsid w:val="752F304D"/>
    <w:rsid w:val="756D3F02"/>
    <w:rsid w:val="75DE4D0A"/>
    <w:rsid w:val="76E71DA4"/>
    <w:rsid w:val="77A30552"/>
    <w:rsid w:val="78697755"/>
    <w:rsid w:val="79431E05"/>
    <w:rsid w:val="7A4D6A17"/>
    <w:rsid w:val="7A993E33"/>
    <w:rsid w:val="7AC41F22"/>
    <w:rsid w:val="7CDA19A9"/>
    <w:rsid w:val="7DD02125"/>
    <w:rsid w:val="7F3625E0"/>
    <w:rsid w:val="7F393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numPr>
        <w:ilvl w:val="0"/>
        <w:numId w:val="1"/>
      </w:numPr>
      <w:spacing w:before="240" w:line="360" w:lineRule="auto"/>
      <w:outlineLvl w:val="0"/>
    </w:pPr>
    <w:rPr>
      <w:rFonts w:ascii="宋体" w:hAnsi="宋体"/>
      <w:b/>
      <w:kern w:val="44"/>
      <w:sz w:val="28"/>
    </w:rPr>
  </w:style>
  <w:style w:type="paragraph" w:styleId="3">
    <w:name w:val="heading 2"/>
    <w:basedOn w:val="1"/>
    <w:next w:val="1"/>
    <w:qFormat/>
    <w:uiPriority w:val="0"/>
    <w:pPr>
      <w:keepLines/>
      <w:numPr>
        <w:ilvl w:val="1"/>
        <w:numId w:val="1"/>
      </w:numPr>
      <w:spacing w:beforeLines="50" w:afterLines="50" w:line="360" w:lineRule="auto"/>
      <w:jc w:val="left"/>
      <w:outlineLvl w:val="1"/>
    </w:pPr>
    <w:rPr>
      <w:rFonts w:ascii="宋体" w:hAnsi="Arial"/>
      <w:b/>
      <w:kern w:val="44"/>
      <w:sz w:val="24"/>
    </w:rPr>
  </w:style>
  <w:style w:type="paragraph" w:styleId="4">
    <w:name w:val="heading 3"/>
    <w:basedOn w:val="1"/>
    <w:next w:val="1"/>
    <w:qFormat/>
    <w:uiPriority w:val="0"/>
    <w:pPr>
      <w:numPr>
        <w:ilvl w:val="2"/>
        <w:numId w:val="1"/>
      </w:numPr>
      <w:spacing w:line="360" w:lineRule="auto"/>
      <w:outlineLvl w:val="2"/>
    </w:pPr>
    <w:rPr>
      <w:rFonts w:ascii="宋体"/>
      <w:kern w:val="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Plain Text"/>
    <w:basedOn w:val="1"/>
    <w:qFormat/>
    <w:uiPriority w:val="0"/>
    <w:pPr>
      <w:spacing w:line="360" w:lineRule="auto"/>
    </w:pPr>
    <w:rPr>
      <w:rFonts w:ascii="宋体" w:hAnsi="Courier New"/>
      <w:kern w:val="0"/>
      <w:sz w:val="20"/>
    </w:rPr>
  </w:style>
  <w:style w:type="paragraph" w:styleId="7">
    <w:name w:val="Body Text Indent 2"/>
    <w:basedOn w:val="1"/>
    <w:unhideWhenUsed/>
    <w:qFormat/>
    <w:uiPriority w:val="0"/>
    <w:pPr>
      <w:adjustRightInd w:val="0"/>
      <w:spacing w:line="360" w:lineRule="auto"/>
      <w:ind w:firstLine="720"/>
    </w:pPr>
    <w:rPr>
      <w:sz w:val="24"/>
    </w:rPr>
  </w:style>
  <w:style w:type="paragraph" w:styleId="8">
    <w:name w:val="footer"/>
    <w:basedOn w:val="1"/>
    <w:qFormat/>
    <w:uiPriority w:val="99"/>
    <w:pPr>
      <w:widowControl/>
      <w:tabs>
        <w:tab w:val="center" w:pos="4153"/>
        <w:tab w:val="right" w:pos="8306"/>
      </w:tabs>
      <w:snapToGrid w:val="0"/>
      <w:spacing w:line="360" w:lineRule="auto"/>
      <w:jc w:val="left"/>
    </w:pPr>
    <w:rPr>
      <w:kern w:val="0"/>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tabs>
        <w:tab w:val="right" w:leader="dot" w:pos="9232"/>
      </w:tabs>
      <w:jc w:val="center"/>
    </w:pPr>
  </w:style>
  <w:style w:type="paragraph" w:styleId="11">
    <w:name w:val="toc 2"/>
    <w:basedOn w:val="1"/>
    <w:next w:val="1"/>
    <w:unhideWhenUsed/>
    <w:qFormat/>
    <w:uiPriority w:val="39"/>
    <w:pPr>
      <w:ind w:left="420" w:leftChars="200"/>
    </w:pPr>
  </w:style>
  <w:style w:type="paragraph" w:styleId="12">
    <w:name w:val="Title"/>
    <w:basedOn w:val="1"/>
    <w:next w:val="1"/>
    <w:qFormat/>
    <w:uiPriority w:val="10"/>
    <w:pPr>
      <w:spacing w:before="240" w:after="60"/>
      <w:jc w:val="center"/>
      <w:outlineLvl w:val="0"/>
    </w:pPr>
    <w:rPr>
      <w:rFonts w:ascii="Cambria" w:hAnsi="Cambria" w:eastAsia="黑体"/>
      <w:bCs/>
      <w:sz w:val="44"/>
      <w:szCs w:val="32"/>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unhideWhenUsed/>
    <w:qFormat/>
    <w:uiPriority w:val="99"/>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2024-12-17T01:09:00Z</dcterms:created>
  <dc:creator>张贝</dc:creator>
  <cp:lastModifiedBy>张贝</cp:lastModifiedBy>
  <dcterms:modified xsi:type="dcterms:W3CDTF">2025-02-20T02:20:27Z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70C30760485B4A3C8622537BD546C43A</vt:lpwstr>
  </property>
</Properties>
</file>