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jc w:val="center"/>
        <w:textAlignment w:val="auto"/>
        <w:rPr>
          <w:rFonts w:hint="eastAsia" w:ascii="黑体" w:hAnsi="Times New Roman" w:eastAsia="黑体"/>
          <w:b/>
          <w:color w:val="auto"/>
          <w:sz w:val="52"/>
          <w:szCs w:val="20"/>
          <w:u w:val="single"/>
        </w:rPr>
      </w:pPr>
      <w:r>
        <w:rPr>
          <w:rFonts w:hint="eastAsia" w:ascii="黑体" w:hAnsi="Times New Roman" w:eastAsia="黑体"/>
          <w:b/>
          <w:color w:val="auto"/>
          <w:sz w:val="52"/>
          <w:szCs w:val="20"/>
          <w:u w:val="single"/>
        </w:rPr>
        <w:t>四川天府银行股份有限公司</w:t>
      </w:r>
    </w:p>
    <w:p>
      <w:pPr>
        <w:keepNext w:val="0"/>
        <w:keepLines w:val="0"/>
        <w:pageBreakBefore w:val="0"/>
        <w:widowControl w:val="0"/>
        <w:kinsoku/>
        <w:overflowPunct/>
        <w:topLinePunct w:val="0"/>
        <w:bidi w:val="0"/>
        <w:jc w:val="center"/>
        <w:textAlignment w:val="auto"/>
        <w:rPr>
          <w:rFonts w:hint="eastAsia" w:ascii="黑体" w:hAnsi="Times New Roman" w:eastAsia="黑体"/>
          <w:b/>
          <w:color w:val="auto"/>
          <w:sz w:val="52"/>
          <w:szCs w:val="20"/>
          <w:u w:val="single"/>
        </w:rPr>
      </w:pPr>
      <w:r>
        <w:rPr>
          <w:rFonts w:hint="eastAsia" w:ascii="黑体" w:eastAsia="黑体"/>
          <w:b/>
          <w:color w:val="auto"/>
          <w:sz w:val="52"/>
          <w:szCs w:val="20"/>
          <w:u w:val="single"/>
          <w:lang w:eastAsia="zh-CN"/>
        </w:rPr>
        <w:t>品牌宣传与新媒体运营</w:t>
      </w:r>
      <w:r>
        <w:rPr>
          <w:rFonts w:hint="eastAsia" w:ascii="黑体" w:hAnsi="Times New Roman" w:eastAsia="黑体"/>
          <w:b/>
          <w:color w:val="auto"/>
          <w:sz w:val="52"/>
          <w:szCs w:val="20"/>
          <w:u w:val="single"/>
        </w:rPr>
        <w:t>服务</w:t>
      </w:r>
    </w:p>
    <w:p>
      <w:pPr>
        <w:keepNext w:val="0"/>
        <w:keepLines w:val="0"/>
        <w:pageBreakBefore w:val="0"/>
        <w:widowControl w:val="0"/>
        <w:kinsoku/>
        <w:overflowPunct/>
        <w:topLinePunct w:val="0"/>
        <w:bidi w:val="0"/>
        <w:jc w:val="center"/>
        <w:textAlignment w:val="auto"/>
        <w:rPr>
          <w:rFonts w:hint="eastAsia" w:eastAsia="黑体"/>
          <w:color w:val="auto"/>
          <w:sz w:val="30"/>
          <w:szCs w:val="30"/>
          <w:lang w:val="en-US" w:eastAsia="zh-CN"/>
        </w:rPr>
      </w:pPr>
      <w:r>
        <w:rPr>
          <w:rFonts w:hint="eastAsia" w:ascii="黑体" w:hAnsi="Times New Roman" w:eastAsia="黑体"/>
          <w:b/>
          <w:color w:val="auto"/>
          <w:sz w:val="52"/>
          <w:szCs w:val="20"/>
        </w:rPr>
        <w:t>招标</w:t>
      </w:r>
      <w:r>
        <w:rPr>
          <w:rFonts w:hint="eastAsia" w:ascii="黑体" w:hAnsi="Times New Roman" w:eastAsia="黑体"/>
          <w:b/>
          <w:color w:val="auto"/>
          <w:sz w:val="52"/>
          <w:szCs w:val="20"/>
          <w:lang w:val="en-US" w:eastAsia="zh-CN"/>
        </w:rPr>
        <w:t>文件</w:t>
      </w:r>
    </w:p>
    <w:p>
      <w:pPr>
        <w:keepNext w:val="0"/>
        <w:keepLines w:val="0"/>
        <w:pageBreakBefore w:val="0"/>
        <w:widowControl w:val="0"/>
        <w:kinsoku/>
        <w:overflowPunct/>
        <w:topLinePunct w:val="0"/>
        <w:bidi w:val="0"/>
        <w:jc w:val="center"/>
        <w:textAlignment w:val="auto"/>
        <w:rPr>
          <w:rFonts w:hint="eastAsia"/>
          <w:color w:val="auto"/>
          <w:sz w:val="30"/>
          <w:szCs w:val="30"/>
        </w:rPr>
      </w:pPr>
    </w:p>
    <w:p>
      <w:pPr>
        <w:keepNext w:val="0"/>
        <w:keepLines w:val="0"/>
        <w:pageBreakBefore w:val="0"/>
        <w:widowControl w:val="0"/>
        <w:kinsoku/>
        <w:overflowPunct/>
        <w:topLinePunct w:val="0"/>
        <w:bidi w:val="0"/>
        <w:jc w:val="center"/>
        <w:textAlignment w:val="auto"/>
        <w:rPr>
          <w:rFonts w:hint="eastAsia"/>
          <w:color w:val="auto"/>
          <w:sz w:val="30"/>
          <w:szCs w:val="30"/>
        </w:rPr>
      </w:pPr>
    </w:p>
    <w:p>
      <w:pPr>
        <w:keepNext w:val="0"/>
        <w:keepLines w:val="0"/>
        <w:pageBreakBefore w:val="0"/>
        <w:widowControl w:val="0"/>
        <w:kinsoku/>
        <w:overflowPunct/>
        <w:topLinePunct w:val="0"/>
        <w:bidi w:val="0"/>
        <w:jc w:val="center"/>
        <w:textAlignment w:val="auto"/>
        <w:rPr>
          <w:rFonts w:hint="eastAsia"/>
          <w:color w:val="auto"/>
          <w:sz w:val="30"/>
          <w:szCs w:val="30"/>
        </w:rPr>
      </w:pPr>
    </w:p>
    <w:p>
      <w:pPr>
        <w:keepNext w:val="0"/>
        <w:keepLines w:val="0"/>
        <w:pageBreakBefore w:val="0"/>
        <w:widowControl w:val="0"/>
        <w:kinsoku/>
        <w:overflowPunct/>
        <w:topLinePunct w:val="0"/>
        <w:bidi w:val="0"/>
        <w:jc w:val="center"/>
        <w:textAlignment w:val="auto"/>
        <w:rPr>
          <w:rFonts w:hint="eastAsia"/>
          <w:color w:val="auto"/>
          <w:sz w:val="30"/>
          <w:szCs w:val="30"/>
        </w:rPr>
      </w:pPr>
    </w:p>
    <w:p>
      <w:pPr>
        <w:keepNext w:val="0"/>
        <w:keepLines w:val="0"/>
        <w:pageBreakBefore w:val="0"/>
        <w:widowControl w:val="0"/>
        <w:kinsoku/>
        <w:overflowPunct/>
        <w:topLinePunct w:val="0"/>
        <w:bidi w:val="0"/>
        <w:jc w:val="center"/>
        <w:textAlignment w:val="auto"/>
        <w:rPr>
          <w:rFonts w:hint="eastAsia"/>
          <w:color w:val="auto"/>
          <w:sz w:val="30"/>
          <w:szCs w:val="30"/>
        </w:rPr>
      </w:pPr>
    </w:p>
    <w:p>
      <w:pPr>
        <w:keepNext w:val="0"/>
        <w:keepLines w:val="0"/>
        <w:pageBreakBefore w:val="0"/>
        <w:widowControl w:val="0"/>
        <w:kinsoku/>
        <w:overflowPunct/>
        <w:topLinePunct w:val="0"/>
        <w:bidi w:val="0"/>
        <w:spacing w:line="360" w:lineRule="auto"/>
        <w:jc w:val="center"/>
        <w:textAlignment w:val="auto"/>
        <w:rPr>
          <w:rFonts w:ascii="仿宋_GB2312" w:hAnsi="Times New Roman" w:eastAsia="仿宋_GB2312"/>
          <w:b/>
          <w:color w:val="auto"/>
          <w:sz w:val="36"/>
          <w:szCs w:val="36"/>
        </w:rPr>
      </w:pPr>
    </w:p>
    <w:p>
      <w:pPr>
        <w:keepNext w:val="0"/>
        <w:keepLines w:val="0"/>
        <w:pageBreakBefore w:val="0"/>
        <w:widowControl w:val="0"/>
        <w:kinsoku/>
        <w:overflowPunct/>
        <w:topLinePunct w:val="0"/>
        <w:bidi w:val="0"/>
        <w:spacing w:line="360" w:lineRule="auto"/>
        <w:jc w:val="center"/>
        <w:textAlignment w:val="auto"/>
        <w:rPr>
          <w:rFonts w:ascii="仿宋_GB2312" w:hAnsi="Times New Roman" w:eastAsia="仿宋_GB2312"/>
          <w:b/>
          <w:color w:val="auto"/>
          <w:sz w:val="36"/>
          <w:szCs w:val="36"/>
        </w:rPr>
      </w:pPr>
    </w:p>
    <w:p>
      <w:pPr>
        <w:keepNext w:val="0"/>
        <w:keepLines w:val="0"/>
        <w:pageBreakBefore w:val="0"/>
        <w:widowControl w:val="0"/>
        <w:kinsoku/>
        <w:overflowPunct/>
        <w:topLinePunct w:val="0"/>
        <w:bidi w:val="0"/>
        <w:spacing w:line="360" w:lineRule="auto"/>
        <w:jc w:val="both"/>
        <w:textAlignment w:val="auto"/>
        <w:rPr>
          <w:rFonts w:hint="eastAsia" w:ascii="仿宋_GB2312" w:hAnsi="Times New Roman" w:eastAsia="仿宋_GB2312"/>
          <w:b/>
          <w:color w:val="auto"/>
          <w:sz w:val="36"/>
          <w:szCs w:val="36"/>
        </w:rPr>
      </w:pPr>
    </w:p>
    <w:p>
      <w:pPr>
        <w:keepNext w:val="0"/>
        <w:keepLines w:val="0"/>
        <w:pageBreakBefore w:val="0"/>
        <w:widowControl w:val="0"/>
        <w:kinsoku/>
        <w:overflowPunct/>
        <w:topLinePunct w:val="0"/>
        <w:bidi w:val="0"/>
        <w:spacing w:line="360" w:lineRule="auto"/>
        <w:jc w:val="center"/>
        <w:textAlignment w:val="auto"/>
        <w:rPr>
          <w:rFonts w:hint="eastAsia" w:asciiTheme="minorEastAsia" w:hAnsiTheme="minorEastAsia" w:eastAsiaTheme="minorEastAsia" w:cstheme="minorEastAsia"/>
          <w:b w:val="0"/>
          <w:bCs/>
          <w:color w:val="auto"/>
          <w:sz w:val="36"/>
          <w:szCs w:val="36"/>
        </w:rPr>
      </w:pPr>
      <w:r>
        <w:rPr>
          <w:rFonts w:hint="eastAsia" w:asciiTheme="minorEastAsia" w:hAnsiTheme="minorEastAsia" w:eastAsiaTheme="minorEastAsia" w:cstheme="minorEastAsia"/>
          <w:b w:val="0"/>
          <w:bCs/>
          <w:color w:val="auto"/>
          <w:sz w:val="36"/>
          <w:szCs w:val="36"/>
        </w:rPr>
        <w:t>招标人：四川天府银行股份有限公司</w:t>
      </w:r>
    </w:p>
    <w:p>
      <w:pPr>
        <w:keepNext w:val="0"/>
        <w:keepLines w:val="0"/>
        <w:pageBreakBefore w:val="0"/>
        <w:widowControl w:val="0"/>
        <w:kinsoku/>
        <w:overflowPunct/>
        <w:topLinePunct w:val="0"/>
        <w:bidi w:val="0"/>
        <w:spacing w:line="360" w:lineRule="auto"/>
        <w:jc w:val="both"/>
        <w:textAlignment w:val="auto"/>
        <w:rPr>
          <w:rFonts w:hint="eastAsia" w:asciiTheme="minorEastAsia" w:hAnsiTheme="minorEastAsia" w:eastAsiaTheme="minorEastAsia" w:cstheme="minorEastAsia"/>
          <w:b w:val="0"/>
          <w:bCs/>
          <w:color w:val="auto"/>
          <w:sz w:val="36"/>
          <w:szCs w:val="36"/>
        </w:rPr>
      </w:pPr>
    </w:p>
    <w:p>
      <w:pPr>
        <w:keepNext w:val="0"/>
        <w:keepLines w:val="0"/>
        <w:pageBreakBefore w:val="0"/>
        <w:widowControl w:val="0"/>
        <w:kinsoku/>
        <w:overflowPunct/>
        <w:topLinePunct w:val="0"/>
        <w:bidi w:val="0"/>
        <w:spacing w:line="360" w:lineRule="auto"/>
        <w:jc w:val="center"/>
        <w:textAlignment w:val="auto"/>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val="0"/>
          <w:bCs/>
          <w:color w:val="auto"/>
          <w:sz w:val="36"/>
          <w:szCs w:val="36"/>
        </w:rPr>
        <w:t>二〇二</w:t>
      </w:r>
      <w:r>
        <w:rPr>
          <w:rFonts w:hint="eastAsia" w:asciiTheme="minorEastAsia" w:hAnsiTheme="minorEastAsia" w:eastAsiaTheme="minorEastAsia" w:cstheme="minorEastAsia"/>
          <w:b w:val="0"/>
          <w:bCs/>
          <w:color w:val="auto"/>
          <w:sz w:val="36"/>
          <w:szCs w:val="36"/>
          <w:lang w:val="en-US" w:eastAsia="zh-CN"/>
        </w:rPr>
        <w:t>五</w:t>
      </w:r>
      <w:r>
        <w:rPr>
          <w:rFonts w:hint="eastAsia" w:asciiTheme="minorEastAsia" w:hAnsiTheme="minorEastAsia" w:eastAsiaTheme="minorEastAsia" w:cstheme="minorEastAsia"/>
          <w:b w:val="0"/>
          <w:bCs/>
          <w:color w:val="auto"/>
          <w:sz w:val="36"/>
          <w:szCs w:val="36"/>
        </w:rPr>
        <w:t>年</w:t>
      </w:r>
      <w:r>
        <w:rPr>
          <w:rFonts w:hint="eastAsia" w:asciiTheme="minorEastAsia" w:hAnsiTheme="minorEastAsia" w:eastAsiaTheme="minorEastAsia" w:cstheme="minorEastAsia"/>
          <w:b w:val="0"/>
          <w:bCs/>
          <w:color w:val="auto"/>
          <w:sz w:val="36"/>
          <w:szCs w:val="36"/>
          <w:lang w:val="en-US" w:eastAsia="zh-CN"/>
        </w:rPr>
        <w:t>二</w:t>
      </w:r>
      <w:r>
        <w:rPr>
          <w:rFonts w:hint="eastAsia" w:asciiTheme="minorEastAsia" w:hAnsiTheme="minorEastAsia" w:eastAsiaTheme="minorEastAsia" w:cstheme="minorEastAsia"/>
          <w:b w:val="0"/>
          <w:bCs/>
          <w:color w:val="auto"/>
          <w:sz w:val="36"/>
          <w:szCs w:val="36"/>
        </w:rPr>
        <w:t>月</w:t>
      </w:r>
    </w:p>
    <w:p>
      <w:pPr>
        <w:keepNext w:val="0"/>
        <w:keepLines w:val="0"/>
        <w:pageBreakBefore w:val="0"/>
        <w:widowControl w:val="0"/>
        <w:kinsoku/>
        <w:overflowPunct/>
        <w:topLinePunct w:val="0"/>
        <w:bidi w:val="0"/>
        <w:jc w:val="left"/>
        <w:textAlignment w:val="auto"/>
        <w:rPr>
          <w:rFonts w:ascii="黑体" w:eastAsia="黑体"/>
          <w:b/>
          <w:color w:val="auto"/>
          <w:sz w:val="32"/>
          <w:szCs w:val="32"/>
          <w:highlight w:val="none"/>
        </w:rPr>
        <w:sectPr>
          <w:headerReference r:id="rId3" w:type="default"/>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overflowPunct/>
        <w:topLinePunct w:val="0"/>
        <w:bidi w:val="0"/>
        <w:jc w:val="center"/>
        <w:textAlignment w:val="auto"/>
        <w:rPr>
          <w:rFonts w:hint="eastAsia" w:ascii="黑体" w:eastAsia="黑体"/>
          <w:b/>
          <w:color w:val="auto"/>
          <w:sz w:val="32"/>
          <w:szCs w:val="32"/>
          <w:highlight w:val="none"/>
        </w:rPr>
      </w:pPr>
    </w:p>
    <w:p>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color w:val="auto"/>
          <w:spacing w:val="20"/>
          <w:sz w:val="21"/>
          <w:szCs w:val="21"/>
          <w:highlight w:val="none"/>
        </w:rPr>
      </w:pPr>
    </w:p>
    <w:sdt>
      <w:sdtPr>
        <w:rPr>
          <w:rFonts w:hint="eastAsia" w:ascii="宋体" w:hAnsi="宋体" w:eastAsia="宋体" w:cs="宋体"/>
          <w:b/>
          <w:bCs/>
          <w:color w:val="auto"/>
          <w:kern w:val="2"/>
          <w:sz w:val="36"/>
          <w:szCs w:val="36"/>
          <w:lang w:val="en-US" w:eastAsia="zh-CN" w:bidi="ar-SA"/>
        </w:rPr>
        <w:id w:val="147452313"/>
        <w15:color w:val="DBDBDB"/>
        <w:docPartObj>
          <w:docPartGallery w:val="Table of Contents"/>
          <w:docPartUnique/>
        </w:docPartObj>
      </w:sdtPr>
      <w:sdtEndPr>
        <w:rPr>
          <w:rFonts w:hint="eastAsia" w:ascii="黑体" w:hAnsi="Times New Roman" w:eastAsia="黑体" w:cs="Times New Roman"/>
          <w:b/>
          <w:bCs/>
          <w:color w:val="auto"/>
          <w:spacing w:val="20"/>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目录</w:t>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TOC \o "1-1" \h \u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_Toc32626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snapToGrid w:val="0"/>
              <w:color w:val="auto"/>
              <w:sz w:val="21"/>
              <w:szCs w:val="21"/>
              <w:highlight w:val="none"/>
            </w:rPr>
            <w:t>申明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_Toc32626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_Toc16832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snapToGrid w:val="0"/>
              <w:color w:val="auto"/>
              <w:sz w:val="21"/>
              <w:szCs w:val="21"/>
              <w:highlight w:val="none"/>
            </w:rPr>
            <w:t>第一部分：投标人须知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_Toc16832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_Toc24950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 </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_Toc22757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2 </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_Toc22757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_Toc3990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3 </w:t>
          </w:r>
          <w:r>
            <w:rPr>
              <w:rFonts w:hint="eastAsia" w:ascii="宋体" w:hAnsi="宋体" w:eastAsia="宋体" w:cs="宋体"/>
              <w:color w:val="auto"/>
              <w:sz w:val="21"/>
              <w:szCs w:val="21"/>
              <w:highlight w:val="none"/>
            </w:rPr>
            <w:t>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_Toc3990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_Toc29303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4 </w:t>
          </w:r>
          <w:r>
            <w:rPr>
              <w:rFonts w:hint="eastAsia" w:ascii="宋体" w:hAnsi="宋体" w:eastAsia="宋体" w:cs="宋体"/>
              <w:color w:val="auto"/>
              <w:sz w:val="21"/>
              <w:szCs w:val="21"/>
              <w:highlight w:val="none"/>
            </w:rPr>
            <w:t>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_Toc29303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_Toc23335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5 </w:t>
          </w:r>
          <w:r>
            <w:rPr>
              <w:rFonts w:hint="eastAsia" w:ascii="宋体" w:hAnsi="宋体" w:eastAsia="宋体" w:cs="宋体"/>
              <w:color w:val="auto"/>
              <w:sz w:val="21"/>
              <w:szCs w:val="21"/>
              <w:highlight w:val="none"/>
            </w:rPr>
            <w:t>知识产权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_Toc23335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_Toc14987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6 </w:t>
          </w:r>
          <w:r>
            <w:rPr>
              <w:rFonts w:hint="eastAsia" w:ascii="宋体" w:hAnsi="宋体" w:eastAsia="宋体" w:cs="宋体"/>
              <w:color w:val="auto"/>
              <w:sz w:val="21"/>
              <w:szCs w:val="21"/>
              <w:highlight w:val="none"/>
            </w:rPr>
            <w:t>投标文件评审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_Toc14987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_Toc10169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7 </w:t>
          </w:r>
          <w:r>
            <w:rPr>
              <w:rFonts w:hint="eastAsia" w:ascii="宋体" w:hAnsi="宋体" w:eastAsia="宋体" w:cs="宋体"/>
              <w:color w:val="auto"/>
              <w:sz w:val="21"/>
              <w:szCs w:val="21"/>
              <w:highlight w:val="none"/>
            </w:rPr>
            <w:t>授予合同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_Toc10169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_Toc30481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8 </w:t>
          </w:r>
          <w:r>
            <w:rPr>
              <w:rFonts w:hint="eastAsia" w:ascii="宋体" w:hAnsi="宋体" w:eastAsia="宋体" w:cs="宋体"/>
              <w:color w:val="auto"/>
              <w:sz w:val="21"/>
              <w:szCs w:val="21"/>
              <w:highlight w:val="none"/>
            </w:rPr>
            <w:t>招标文件的解释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_Toc30481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_Toc22926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snapToGrid w:val="0"/>
              <w:color w:val="auto"/>
              <w:sz w:val="21"/>
              <w:szCs w:val="21"/>
              <w:highlight w:val="none"/>
            </w:rPr>
            <w:t>第二部分：</w:t>
          </w:r>
          <w:r>
            <w:rPr>
              <w:rFonts w:hint="eastAsia" w:ascii="宋体" w:hAnsi="宋体" w:eastAsia="宋体" w:cs="宋体"/>
              <w:snapToGrid w:val="0"/>
              <w:color w:val="auto"/>
              <w:sz w:val="21"/>
              <w:szCs w:val="21"/>
              <w:highlight w:val="none"/>
              <w:lang w:eastAsia="zh-CN"/>
            </w:rPr>
            <w:t>服务</w:t>
          </w:r>
          <w:r>
            <w:rPr>
              <w:rFonts w:hint="eastAsia" w:ascii="宋体" w:hAnsi="宋体" w:eastAsia="宋体" w:cs="宋体"/>
              <w:snapToGrid w:val="0"/>
              <w:color w:val="auto"/>
              <w:sz w:val="21"/>
              <w:szCs w:val="21"/>
              <w:highlight w:val="none"/>
            </w:rPr>
            <w:t>内容和要求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_Toc22926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_Toc16632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9 </w:t>
          </w:r>
          <w:r>
            <w:rPr>
              <w:rFonts w:hint="eastAsia" w:ascii="宋体" w:hAnsi="宋体" w:eastAsia="宋体" w:cs="宋体"/>
              <w:color w:val="auto"/>
              <w:sz w:val="21"/>
              <w:szCs w:val="21"/>
              <w:highlight w:val="none"/>
              <w:lang w:eastAsia="zh-CN"/>
            </w:rPr>
            <w:t>基本服务</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_Toc16632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_Toc7369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10 </w:t>
          </w:r>
          <w:r>
            <w:rPr>
              <w:rFonts w:hint="eastAsia" w:ascii="宋体" w:hAnsi="宋体" w:eastAsia="宋体" w:cs="宋体"/>
              <w:color w:val="auto"/>
              <w:sz w:val="21"/>
              <w:szCs w:val="21"/>
              <w:highlight w:val="none"/>
            </w:rPr>
            <w:t>服务内容和要求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_Toc7369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_Toc22294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11 </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_Toc22294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_Toc29474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snapToGrid w:val="0"/>
              <w:color w:val="auto"/>
              <w:sz w:val="21"/>
              <w:szCs w:val="21"/>
              <w:highlight w:val="none"/>
            </w:rPr>
            <w:t>第三部分：投标文件格式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_Toc29474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_Toc24982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12 </w:t>
          </w:r>
          <w:r>
            <w:rPr>
              <w:rFonts w:hint="eastAsia" w:ascii="宋体" w:hAnsi="宋体" w:eastAsia="宋体" w:cs="宋体"/>
              <w:color w:val="auto"/>
              <w:sz w:val="21"/>
              <w:szCs w:val="21"/>
              <w:highlight w:val="none"/>
            </w:rPr>
            <w:t>投标函格式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_Toc24982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_Toc9246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13 </w:t>
          </w:r>
          <w:r>
            <w:rPr>
              <w:rFonts w:hint="eastAsia" w:ascii="宋体" w:hAnsi="宋体" w:eastAsia="宋体" w:cs="宋体"/>
              <w:color w:val="auto"/>
              <w:sz w:val="21"/>
              <w:szCs w:val="21"/>
              <w:highlight w:val="none"/>
            </w:rPr>
            <w:t>投标报价表格式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_Toc9246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_Toc29134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14 </w:t>
          </w:r>
          <w:r>
            <w:rPr>
              <w:rFonts w:hint="eastAsia" w:ascii="宋体" w:hAnsi="宋体" w:eastAsia="宋体" w:cs="宋体"/>
              <w:color w:val="auto"/>
              <w:sz w:val="21"/>
              <w:szCs w:val="21"/>
              <w:highlight w:val="none"/>
            </w:rPr>
            <w:t>法定代表人授权委托书格式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_Toc29134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_Toc19481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15 </w:t>
          </w:r>
          <w:r>
            <w:rPr>
              <w:rFonts w:hint="eastAsia" w:ascii="宋体" w:hAnsi="宋体" w:eastAsia="宋体" w:cs="宋体"/>
              <w:color w:val="auto"/>
              <w:sz w:val="21"/>
              <w:szCs w:val="21"/>
              <w:highlight w:val="none"/>
            </w:rPr>
            <w:t>资格声明格式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_Toc19481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_Toc10648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 xml:space="preserve">16 </w:t>
          </w:r>
          <w:r>
            <w:rPr>
              <w:rFonts w:hint="eastAsia" w:ascii="宋体" w:hAnsi="宋体" w:eastAsia="宋体" w:cs="宋体"/>
              <w:color w:val="auto"/>
              <w:sz w:val="21"/>
              <w:szCs w:val="21"/>
              <w:highlight w:val="none"/>
              <w:lang w:val="en-US" w:eastAsia="zh-CN"/>
            </w:rPr>
            <w:t>商务资格审查文件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_Toc10648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leader="dot" w:pos="8312"/>
            </w:tabs>
            <w:rPr>
              <w:rFonts w:hint="eastAsia" w:ascii="宋体" w:hAnsi="宋体" w:eastAsia="宋体" w:cs="宋体"/>
              <w:color w:val="auto"/>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 HYPERLINK \l _Toc26797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z w:val="21"/>
              <w:szCs w:val="21"/>
            </w:rPr>
            <w:t>商务资格审查文件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_Toc26797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pacing w:val="20"/>
              <w:sz w:val="21"/>
              <w:szCs w:val="21"/>
              <w:highlight w:val="none"/>
            </w:rPr>
            <w:fldChar w:fldCharType="end"/>
          </w:r>
        </w:p>
        <w:p>
          <w:pPr>
            <w:pStyle w:val="18"/>
            <w:tabs>
              <w:tab w:val="right" w:pos="2800"/>
              <w:tab w:val="right" w:leader="dot" w:pos="8312"/>
            </w:tabs>
            <w:rPr>
              <w:rFonts w:hint="eastAsia" w:ascii="宋体" w:hAnsi="宋体" w:eastAsia="宋体" w:cs="宋体"/>
              <w:color w:val="auto"/>
              <w:sz w:val="21"/>
              <w:szCs w:val="21"/>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r>
            <w:rPr>
              <w:rFonts w:hint="eastAsia" w:ascii="宋体" w:hAnsi="宋体" w:eastAsia="宋体" w:cs="宋体"/>
              <w:color w:val="auto"/>
              <w:spacing w:val="20"/>
              <w:sz w:val="21"/>
              <w:szCs w:val="21"/>
              <w:highlight w:val="none"/>
            </w:rPr>
            <w:fldChar w:fldCharType="end"/>
          </w:r>
        </w:p>
      </w:sdtContent>
    </w:sdt>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pStyle w:val="13"/>
        <w:keepNext w:val="0"/>
        <w:keepLines w:val="0"/>
        <w:pageBreakBefore w:val="0"/>
        <w:widowControl w:val="0"/>
        <w:kinsoku/>
        <w:overflowPunct/>
        <w:topLinePunct w:val="0"/>
        <w:bidi w:val="0"/>
        <w:jc w:val="both"/>
        <w:textAlignment w:val="auto"/>
        <w:outlineLvl w:val="9"/>
        <w:rPr>
          <w:rFonts w:hint="eastAsia"/>
          <w:snapToGrid w:val="0"/>
          <w:color w:val="auto"/>
          <w:highlight w:val="none"/>
        </w:rPr>
      </w:pPr>
      <w:bookmarkStart w:id="0" w:name="_Toc55544800"/>
      <w:bookmarkStart w:id="1" w:name="_Toc485930523"/>
    </w:p>
    <w:p>
      <w:pPr>
        <w:pStyle w:val="13"/>
        <w:keepNext w:val="0"/>
        <w:keepLines w:val="0"/>
        <w:pageBreakBefore w:val="0"/>
        <w:widowControl w:val="0"/>
        <w:kinsoku/>
        <w:overflowPunct/>
        <w:topLinePunct w:val="0"/>
        <w:bidi w:val="0"/>
        <w:textAlignment w:val="auto"/>
        <w:rPr>
          <w:snapToGrid w:val="0"/>
          <w:color w:val="auto"/>
          <w:sz w:val="36"/>
          <w:szCs w:val="36"/>
          <w:highlight w:val="none"/>
        </w:rPr>
      </w:pPr>
      <w:bookmarkStart w:id="2" w:name="_Toc32626"/>
      <w:r>
        <w:rPr>
          <w:rFonts w:hint="eastAsia"/>
          <w:snapToGrid w:val="0"/>
          <w:color w:val="auto"/>
          <w:sz w:val="36"/>
          <w:szCs w:val="36"/>
          <w:highlight w:val="none"/>
        </w:rPr>
        <w:t>申明</w:t>
      </w:r>
      <w:bookmarkEnd w:id="0"/>
      <w:bookmarkEnd w:id="1"/>
      <w:bookmarkEnd w:id="2"/>
    </w:p>
    <w:p>
      <w:pPr>
        <w:keepNext w:val="0"/>
        <w:keepLines w:val="0"/>
        <w:pageBreakBefore w:val="0"/>
        <w:widowControl w:val="0"/>
        <w:kinsoku/>
        <w:overflowPunct/>
        <w:topLinePunct w:val="0"/>
        <w:autoSpaceDE w:val="0"/>
        <w:autoSpaceDN w:val="0"/>
        <w:bidi w:val="0"/>
        <w:adjustRightInd w:val="0"/>
        <w:spacing w:line="560" w:lineRule="atLeast"/>
        <w:jc w:val="center"/>
        <w:textAlignment w:val="auto"/>
        <w:rPr>
          <w:rFonts w:ascii="宋体" w:hAnsi="宋体"/>
          <w:snapToGrid w:val="0"/>
          <w:color w:val="auto"/>
          <w:highlight w:val="none"/>
        </w:rPr>
      </w:pPr>
    </w:p>
    <w:p>
      <w:pPr>
        <w:keepNext w:val="0"/>
        <w:keepLines w:val="0"/>
        <w:pageBreakBefore w:val="0"/>
        <w:widowControl w:val="0"/>
        <w:kinsoku/>
        <w:wordWrap w:val="0"/>
        <w:overflowPunct/>
        <w:topLinePunct w:val="0"/>
        <w:autoSpaceDE w:val="0"/>
        <w:autoSpaceDN w:val="0"/>
        <w:bidi w:val="0"/>
        <w:adjustRightInd w:val="0"/>
        <w:spacing w:line="560" w:lineRule="atLeast"/>
        <w:ind w:firstLine="624"/>
        <w:textAlignment w:val="auto"/>
        <w:rPr>
          <w:rFonts w:hint="eastAsia" w:ascii="宋体" w:hAnsi="宋体" w:eastAsia="宋体" w:cs="Times New Roman"/>
          <w:snapToGrid w:val="0"/>
          <w:color w:val="auto"/>
          <w:sz w:val="21"/>
          <w:szCs w:val="21"/>
        </w:rPr>
      </w:pPr>
      <w:r>
        <w:rPr>
          <w:rFonts w:hint="eastAsia" w:ascii="宋体" w:hAnsi="宋体"/>
          <w:snapToGrid w:val="0"/>
          <w:color w:val="auto"/>
          <w:sz w:val="21"/>
          <w:szCs w:val="21"/>
        </w:rPr>
        <w:t>本招标文件专用于</w:t>
      </w:r>
      <w:r>
        <w:rPr>
          <w:rFonts w:hint="eastAsia" w:ascii="宋体" w:hAnsi="宋体"/>
          <w:snapToGrid w:val="0"/>
          <w:color w:val="auto"/>
          <w:sz w:val="21"/>
          <w:szCs w:val="21"/>
          <w:u w:val="single"/>
        </w:rPr>
        <w:t>四川天府银行股份有限公司</w:t>
      </w:r>
      <w:r>
        <w:rPr>
          <w:rFonts w:hint="eastAsia" w:ascii="宋体" w:hAnsi="宋体"/>
          <w:snapToGrid w:val="0"/>
          <w:color w:val="auto"/>
          <w:sz w:val="21"/>
          <w:szCs w:val="21"/>
          <w:u w:val="single"/>
          <w:lang w:eastAsia="zh-CN"/>
        </w:rPr>
        <w:t>品牌宣传与新媒体运营</w:t>
      </w:r>
      <w:r>
        <w:rPr>
          <w:rFonts w:hint="eastAsia" w:ascii="宋体" w:hAnsi="宋体" w:eastAsia="宋体" w:cs="Times New Roman"/>
          <w:snapToGrid w:val="0"/>
          <w:color w:val="auto"/>
          <w:sz w:val="21"/>
          <w:szCs w:val="21"/>
          <w:u w:val="single"/>
        </w:rPr>
        <w:t>服务</w:t>
      </w:r>
      <w:r>
        <w:rPr>
          <w:rFonts w:hint="eastAsia" w:ascii="宋体" w:hAnsi="宋体" w:eastAsia="宋体" w:cs="Times New Roman"/>
          <w:snapToGrid w:val="0"/>
          <w:color w:val="auto"/>
          <w:sz w:val="21"/>
          <w:szCs w:val="21"/>
        </w:rPr>
        <w:t>招标，招标文件内容解释权归招标人所有。参加投标单位即视为无条件同意本申明并保证对本招标文件可能涉及的招标人商业秘密予以保密，除经招标人书面同意外，任何单位和个人不得为参与本项目投标以外的目的而出版、复制、传播、销售及使用本招标文件。</w:t>
      </w: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hint="eastAsia"/>
          <w:snapToGrid w:val="0"/>
          <w:color w:val="auto"/>
          <w:highlight w:val="none"/>
        </w:rPr>
      </w:pPr>
      <w:r>
        <w:rPr>
          <w:rFonts w:ascii="黑体" w:eastAsia="黑体"/>
          <w:color w:val="auto"/>
          <w:spacing w:val="20"/>
          <w:sz w:val="32"/>
          <w:highlight w:val="none"/>
        </w:rPr>
        <w:br w:type="page"/>
      </w:r>
      <w:bookmarkStart w:id="3" w:name="_Toc55544801"/>
    </w:p>
    <w:p>
      <w:pPr>
        <w:pStyle w:val="13"/>
        <w:keepNext w:val="0"/>
        <w:keepLines w:val="0"/>
        <w:pageBreakBefore w:val="0"/>
        <w:widowControl w:val="0"/>
        <w:kinsoku/>
        <w:overflowPunct/>
        <w:topLinePunct w:val="0"/>
        <w:bidi w:val="0"/>
        <w:jc w:val="both"/>
        <w:textAlignment w:val="auto"/>
        <w:outlineLvl w:val="9"/>
        <w:rPr>
          <w:rFonts w:hint="eastAsia"/>
          <w:snapToGrid w:val="0"/>
          <w:color w:val="auto"/>
          <w:sz w:val="36"/>
          <w:szCs w:val="36"/>
          <w:highlight w:val="none"/>
        </w:rPr>
      </w:pPr>
    </w:p>
    <w:p>
      <w:pPr>
        <w:pStyle w:val="13"/>
        <w:keepNext w:val="0"/>
        <w:keepLines w:val="0"/>
        <w:pageBreakBefore w:val="0"/>
        <w:widowControl w:val="0"/>
        <w:kinsoku/>
        <w:overflowPunct/>
        <w:topLinePunct w:val="0"/>
        <w:bidi w:val="0"/>
        <w:textAlignment w:val="auto"/>
        <w:rPr>
          <w:rFonts w:ascii="黑体"/>
          <w:color w:val="auto"/>
          <w:spacing w:val="20"/>
          <w:sz w:val="36"/>
          <w:szCs w:val="36"/>
          <w:highlight w:val="none"/>
        </w:rPr>
      </w:pPr>
      <w:bookmarkStart w:id="4" w:name="_Toc16832"/>
      <w:r>
        <w:rPr>
          <w:rFonts w:hint="eastAsia"/>
          <w:snapToGrid w:val="0"/>
          <w:color w:val="auto"/>
          <w:sz w:val="36"/>
          <w:szCs w:val="36"/>
          <w:highlight w:val="none"/>
        </w:rPr>
        <w:t>第一部分：投标人须知</w:t>
      </w:r>
      <w:bookmarkEnd w:id="3"/>
      <w:bookmarkEnd w:id="4"/>
    </w:p>
    <w:p>
      <w:pPr>
        <w:pStyle w:val="2"/>
        <w:keepNext w:val="0"/>
        <w:keepLines w:val="0"/>
        <w:pageBreakBefore w:val="0"/>
        <w:widowControl w:val="0"/>
        <w:kinsoku/>
        <w:overflowPunct/>
        <w:topLinePunct w:val="0"/>
        <w:bidi w:val="0"/>
        <w:textAlignment w:val="auto"/>
        <w:rPr>
          <w:color w:val="auto"/>
          <w:highlight w:val="none"/>
        </w:rPr>
      </w:pPr>
      <w:bookmarkStart w:id="5" w:name="_Toc55544802"/>
      <w:bookmarkStart w:id="6" w:name="_Toc24950"/>
      <w:r>
        <w:rPr>
          <w:rFonts w:hint="eastAsia"/>
          <w:color w:val="auto"/>
          <w:highlight w:val="none"/>
        </w:rPr>
        <w:t>说明</w:t>
      </w:r>
      <w:bookmarkEnd w:id="5"/>
      <w:bookmarkEnd w:id="6"/>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7" w:name="_Toc55544803"/>
      <w:r>
        <w:rPr>
          <w:rFonts w:hint="eastAsia"/>
          <w:color w:val="auto"/>
          <w:highlight w:val="none"/>
        </w:rPr>
        <w:t>招标项目概要</w:t>
      </w:r>
      <w:bookmarkEnd w:id="7"/>
    </w:p>
    <w:p>
      <w:pPr>
        <w:keepNext w:val="0"/>
        <w:keepLines w:val="0"/>
        <w:pageBreakBefore w:val="0"/>
        <w:widowControl w:val="0"/>
        <w:kinsoku/>
        <w:overflowPunct/>
        <w:topLinePunct w:val="0"/>
        <w:bidi w:val="0"/>
        <w:spacing w:line="360" w:lineRule="auto"/>
        <w:textAlignment w:val="auto"/>
        <w:rPr>
          <w:rFonts w:ascii="黑体" w:eastAsia="黑体"/>
          <w:color w:val="auto"/>
          <w:sz w:val="32"/>
          <w:highlight w:val="none"/>
        </w:rPr>
      </w:pPr>
      <w:r>
        <w:rPr>
          <w:rFonts w:hint="eastAsia"/>
          <w:color w:val="auto"/>
          <w:highlight w:val="none"/>
        </w:rPr>
        <w:t>招标人：</w:t>
      </w:r>
      <w:r>
        <w:rPr>
          <w:color w:val="auto"/>
          <w:highlight w:val="none"/>
          <w:u w:val="single"/>
        </w:rPr>
        <w:t>四川天府银行股份有限公司</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项目名称：</w:t>
      </w:r>
      <w:r>
        <w:rPr>
          <w:rFonts w:hint="eastAsia" w:ascii="宋体" w:hAnsi="宋体" w:eastAsia="宋体" w:cs="宋体"/>
          <w:color w:val="auto"/>
          <w:sz w:val="21"/>
          <w:szCs w:val="21"/>
          <w:u w:val="single"/>
        </w:rPr>
        <w:t>四川天府银行股份有限公司</w:t>
      </w:r>
      <w:r>
        <w:rPr>
          <w:rFonts w:hint="eastAsia" w:ascii="宋体" w:hAnsi="宋体"/>
          <w:snapToGrid w:val="0"/>
          <w:color w:val="auto"/>
          <w:sz w:val="21"/>
          <w:szCs w:val="21"/>
          <w:u w:val="single"/>
          <w:lang w:eastAsia="zh-CN"/>
        </w:rPr>
        <w:t>品牌宣传与新媒体运营</w:t>
      </w:r>
      <w:r>
        <w:rPr>
          <w:rFonts w:hint="eastAsia" w:hAnsi="宋体" w:cs="宋体"/>
          <w:color w:val="auto"/>
          <w:sz w:val="21"/>
          <w:szCs w:val="21"/>
          <w:u w:val="single"/>
          <w:lang w:val="en-US" w:eastAsia="zh-CN"/>
        </w:rPr>
        <w:t>服务项目</w:t>
      </w:r>
      <w:r>
        <w:rPr>
          <w:rFonts w:hint="eastAsia"/>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项目内容：通过全方位</w:t>
      </w:r>
      <w:r>
        <w:rPr>
          <w:rFonts w:hint="eastAsia"/>
          <w:color w:val="auto"/>
          <w:highlight w:val="none"/>
          <w:lang w:eastAsia="zh-CN"/>
        </w:rPr>
        <w:t>全渠道自媒体运营</w:t>
      </w:r>
      <w:r>
        <w:rPr>
          <w:rFonts w:hint="eastAsia"/>
          <w:color w:val="auto"/>
          <w:highlight w:val="none"/>
        </w:rPr>
        <w:t>，强化我行品牌形象，提高品牌知名度、</w:t>
      </w:r>
      <w:r>
        <w:rPr>
          <w:rFonts w:hint="eastAsia"/>
          <w:color w:val="auto"/>
          <w:highlight w:val="none"/>
          <w:lang w:eastAsia="zh-CN"/>
        </w:rPr>
        <w:t>企业声誉与</w:t>
      </w:r>
      <w:r>
        <w:rPr>
          <w:rFonts w:hint="eastAsia"/>
          <w:color w:val="auto"/>
          <w:highlight w:val="none"/>
        </w:rPr>
        <w:t>客户忠诚度，精准、有效地推广各类金融产品与服务，</w:t>
      </w:r>
      <w:r>
        <w:rPr>
          <w:rFonts w:hint="eastAsia"/>
          <w:color w:val="auto"/>
          <w:highlight w:val="none"/>
          <w:lang w:eastAsia="zh-CN"/>
        </w:rPr>
        <w:t>增强市场竞争力</w:t>
      </w:r>
      <w:r>
        <w:rPr>
          <w:rFonts w:hint="eastAsia"/>
          <w:color w:val="auto"/>
          <w:highlight w:val="none"/>
        </w:rPr>
        <w:t>。</w:t>
      </w:r>
    </w:p>
    <w:p>
      <w:pPr>
        <w:pStyle w:val="4"/>
        <w:keepNext w:val="0"/>
        <w:keepLines w:val="0"/>
        <w:pageBreakBefore w:val="0"/>
        <w:widowControl w:val="0"/>
        <w:kinsoku/>
        <w:overflowPunct/>
        <w:topLinePunct w:val="0"/>
        <w:bidi w:val="0"/>
        <w:textAlignment w:val="auto"/>
        <w:rPr>
          <w:rFonts w:eastAsia="宋体" w:cs="Times New Roman"/>
          <w:color w:val="auto"/>
          <w:highlight w:val="none"/>
          <w:u w:val="single"/>
        </w:rPr>
      </w:pPr>
      <w:r>
        <w:rPr>
          <w:rFonts w:hint="eastAsia"/>
          <w:color w:val="auto"/>
          <w:highlight w:val="none"/>
        </w:rPr>
        <w:t>招标方式：</w:t>
      </w:r>
      <w:r>
        <w:rPr>
          <w:rFonts w:hint="eastAsia"/>
          <w:color w:val="auto"/>
          <w:highlight w:val="none"/>
          <w:u w:val="single"/>
          <w:lang w:val="en-US" w:eastAsia="zh-CN"/>
        </w:rPr>
        <w:t>公开招标</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color w:val="auto"/>
          <w:highlight w:val="none"/>
        </w:rPr>
        <w:t>合同履行地：</w:t>
      </w:r>
      <w:r>
        <w:rPr>
          <w:color w:val="auto"/>
          <w:highlight w:val="none"/>
          <w:u w:val="single"/>
        </w:rPr>
        <w:t>四川天府银行股份有限公司</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发放标书时间：</w:t>
      </w:r>
      <w:r>
        <w:rPr>
          <w:rFonts w:hint="eastAsia"/>
          <w:color w:val="auto"/>
          <w:highlight w:val="none"/>
          <w:u w:val="single"/>
          <w:lang w:val="en-US" w:eastAsia="zh-CN"/>
        </w:rPr>
        <w:t>以招标人通知为准</w:t>
      </w:r>
      <w:r>
        <w:rPr>
          <w:rFonts w:hint="eastAsia"/>
          <w:color w:val="auto"/>
          <w:highlight w:val="none"/>
          <w:u w:val="single"/>
        </w:rPr>
        <w:t>。</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投标截止时间：</w:t>
      </w:r>
      <w:r>
        <w:rPr>
          <w:rFonts w:hint="eastAsia"/>
          <w:color w:val="auto"/>
          <w:highlight w:val="none"/>
          <w:u w:val="single"/>
          <w:lang w:val="en-US" w:eastAsia="zh-CN"/>
        </w:rPr>
        <w:t>2025年3月2日</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开标时间：</w:t>
      </w:r>
      <w:r>
        <w:rPr>
          <w:rFonts w:hint="eastAsia"/>
          <w:color w:val="auto"/>
          <w:highlight w:val="none"/>
          <w:u w:val="single"/>
          <w:lang w:val="en-US" w:eastAsia="zh-CN"/>
        </w:rPr>
        <w:t>以招标人通知为准</w:t>
      </w:r>
      <w:r>
        <w:rPr>
          <w:rFonts w:hint="eastAsia"/>
          <w:color w:val="auto"/>
          <w:highlight w:val="none"/>
          <w:u w:val="single"/>
        </w:rPr>
        <w:t>。</w:t>
      </w:r>
    </w:p>
    <w:p>
      <w:pPr>
        <w:pStyle w:val="4"/>
        <w:keepNext w:val="0"/>
        <w:keepLines w:val="0"/>
        <w:pageBreakBefore w:val="0"/>
        <w:widowControl w:val="0"/>
        <w:kinsoku/>
        <w:overflowPunct/>
        <w:topLinePunct w:val="0"/>
        <w:bidi w:val="0"/>
        <w:textAlignment w:val="auto"/>
        <w:rPr>
          <w:rFonts w:eastAsia="宋体" w:cs="Times New Roman"/>
          <w:color w:val="auto"/>
          <w:highlight w:val="none"/>
          <w:u w:val="single"/>
        </w:rPr>
      </w:pPr>
      <w:r>
        <w:rPr>
          <w:rFonts w:hint="eastAsia" w:eastAsia="宋体" w:cs="Times New Roman"/>
          <w:color w:val="auto"/>
          <w:highlight w:val="none"/>
        </w:rPr>
        <w:t>开标地点：</w:t>
      </w:r>
      <w:r>
        <w:rPr>
          <w:rFonts w:hint="eastAsia" w:eastAsia="宋体" w:cs="Times New Roman"/>
          <w:color w:val="auto"/>
          <w:highlight w:val="none"/>
          <w:u w:val="single"/>
        </w:rPr>
        <w:t>四川天府银行成都分行办公大楼，四川省成都市锦江区下东大街258号1号楼。</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联系人：</w:t>
      </w:r>
      <w:r>
        <w:rPr>
          <w:rFonts w:hint="eastAsia"/>
          <w:color w:val="auto"/>
          <w:highlight w:val="none"/>
          <w:u w:val="single"/>
          <w:lang w:eastAsia="zh-CN"/>
        </w:rPr>
        <w:t>刘纯燕 18113867367</w:t>
      </w:r>
      <w:r>
        <w:rPr>
          <w:rFonts w:hint="eastAsia"/>
          <w:color w:val="auto"/>
          <w:highlight w:val="none"/>
          <w:u w:val="single"/>
        </w:rPr>
        <w:t xml:space="preserve">  </w:t>
      </w:r>
    </w:p>
    <w:p>
      <w:pPr>
        <w:pStyle w:val="4"/>
        <w:keepNext w:val="0"/>
        <w:keepLines w:val="0"/>
        <w:pageBreakBefore w:val="0"/>
        <w:widowControl w:val="0"/>
        <w:numPr>
          <w:ilvl w:val="0"/>
          <w:numId w:val="0"/>
        </w:numPr>
        <w:tabs>
          <w:tab w:val="clear" w:pos="720"/>
        </w:tabs>
        <w:kinsoku/>
        <w:overflowPunct/>
        <w:topLinePunct w:val="0"/>
        <w:bidi w:val="0"/>
        <w:ind w:left="720" w:firstLine="840" w:firstLineChars="400"/>
        <w:textAlignment w:val="auto"/>
        <w:rPr>
          <w:rFonts w:hint="default" w:eastAsia="宋体"/>
          <w:color w:val="auto"/>
          <w:highlight w:val="none"/>
          <w:u w:val="single"/>
          <w:lang w:val="en-US" w:eastAsia="zh-CN"/>
        </w:rPr>
      </w:pPr>
      <w:r>
        <w:rPr>
          <w:rFonts w:hint="eastAsia"/>
          <w:color w:val="auto"/>
          <w:highlight w:val="none"/>
          <w:u w:val="single"/>
          <w:lang w:val="en-US" w:eastAsia="zh-CN"/>
        </w:rPr>
        <w:t>易诗倩 18608011224</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8" w:name="_Toc55544804"/>
      <w:r>
        <w:rPr>
          <w:rFonts w:hint="eastAsia"/>
          <w:color w:val="auto"/>
          <w:highlight w:val="none"/>
        </w:rPr>
        <w:t>适用范围</w:t>
      </w:r>
      <w:bookmarkEnd w:id="8"/>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本招标文件仅适用于本项目招标文件中所叙述的项目。</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9" w:name="_Toc55544805"/>
      <w:r>
        <w:rPr>
          <w:rFonts w:hint="eastAsia"/>
          <w:color w:val="auto"/>
          <w:highlight w:val="none"/>
        </w:rPr>
        <w:t>法律适用</w:t>
      </w:r>
      <w:bookmarkEnd w:id="9"/>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本招标文件及由本次招标产生的合同适用中华人民共和国法律。</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0" w:name="_Toc55544806"/>
      <w:r>
        <w:rPr>
          <w:rFonts w:hint="eastAsia"/>
          <w:color w:val="auto"/>
          <w:highlight w:val="none"/>
        </w:rPr>
        <w:t>定义及解释</w:t>
      </w:r>
      <w:bookmarkEnd w:id="10"/>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用户：</w:t>
      </w:r>
      <w:r>
        <w:rPr>
          <w:color w:val="auto"/>
          <w:highlight w:val="none"/>
        </w:rPr>
        <w:t>四川天府银行</w:t>
      </w:r>
      <w:r>
        <w:rPr>
          <w:rFonts w:hint="eastAsia"/>
          <w:color w:val="auto"/>
          <w:highlight w:val="none"/>
        </w:rPr>
        <w:t>。</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服务：</w:t>
      </w:r>
      <w:r>
        <w:rPr>
          <w:rFonts w:hint="eastAsia" w:hAnsi="宋体"/>
          <w:color w:val="auto"/>
          <w:szCs w:val="21"/>
          <w:highlight w:val="none"/>
        </w:rPr>
        <w:t>招标文件规定投标人必须满足的服务要求</w:t>
      </w:r>
      <w:r>
        <w:rPr>
          <w:rFonts w:hint="eastAsia" w:hAnsi="宋体"/>
          <w:color w:val="auto"/>
          <w:szCs w:val="21"/>
          <w:highlight w:val="none"/>
          <w:lang w:eastAsia="zh-CN"/>
        </w:rPr>
        <w:t>、</w:t>
      </w:r>
      <w:r>
        <w:rPr>
          <w:rFonts w:hint="eastAsia" w:hAnsi="宋体"/>
          <w:color w:val="auto"/>
          <w:szCs w:val="21"/>
          <w:highlight w:val="none"/>
        </w:rPr>
        <w:t>后续服务及其他相关义务</w:t>
      </w:r>
      <w:r>
        <w:rPr>
          <w:rFonts w:hint="eastAsia" w:hAnsi="宋体"/>
          <w:color w:val="auto"/>
          <w:szCs w:val="21"/>
          <w:highlight w:val="none"/>
          <w:lang w:eastAsia="zh-CN"/>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日期：指公历日。</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合同：指依据本次</w:t>
      </w:r>
      <w:r>
        <w:rPr>
          <w:rFonts w:hint="eastAsia"/>
          <w:color w:val="auto"/>
          <w:highlight w:val="none"/>
          <w:lang w:eastAsia="zh-CN"/>
        </w:rPr>
        <w:t>项目</w:t>
      </w:r>
      <w:r>
        <w:rPr>
          <w:rFonts w:hint="eastAsia"/>
          <w:color w:val="auto"/>
          <w:highlight w:val="none"/>
        </w:rPr>
        <w:t>招标结果签订的意向书、协议或合约文件。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招标文件中的标题或题名仅起引导作用，而不应视为对招标文件内容的理解和解释。</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招标文件中所规定的“书面形式”，包括纸质文件和电讯文件形式，既含手写、打印或印刷的文字资料形式，也包括传真等通讯形成文件。</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1" w:name="_Toc55544807"/>
      <w:r>
        <w:rPr>
          <w:rFonts w:hint="eastAsia"/>
          <w:color w:val="auto"/>
          <w:highlight w:val="none"/>
        </w:rPr>
        <w:t>合格投标人</w:t>
      </w:r>
      <w:bookmarkEnd w:id="11"/>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合格投标人</w:t>
      </w:r>
    </w:p>
    <w:p>
      <w:pPr>
        <w:keepNext w:val="0"/>
        <w:keepLines w:val="0"/>
        <w:pageBreakBefore w:val="0"/>
        <w:widowControl w:val="0"/>
        <w:kinsoku/>
        <w:overflowPunct/>
        <w:topLinePunct w:val="0"/>
        <w:bidi w:val="0"/>
        <w:spacing w:line="360" w:lineRule="auto"/>
        <w:ind w:firstLine="420" w:firstLineChars="200"/>
        <w:textAlignment w:val="auto"/>
        <w:rPr>
          <w:rFonts w:hint="default" w:ascii="宋体" w:hAnsi="宋体" w:eastAsia="宋体" w:cs="宋体"/>
          <w:b/>
          <w:bCs/>
          <w:color w:val="auto"/>
          <w:sz w:val="21"/>
          <w:szCs w:val="21"/>
          <w:lang w:val="en-US" w:eastAsia="zh-CN"/>
        </w:rPr>
      </w:pPr>
      <w:bookmarkStart w:id="71" w:name="_GoBack"/>
      <w:r>
        <w:rPr>
          <w:rFonts w:hint="eastAsia" w:ascii="宋体" w:hAnsi="宋体" w:eastAsia="宋体" w:cs="宋体"/>
          <w:color w:val="auto"/>
          <w:sz w:val="21"/>
          <w:szCs w:val="21"/>
        </w:rPr>
        <w:t>（1）投标方须为在中华人民共和国境内合法注册的企业法人或其他组织，公司</w:t>
      </w:r>
      <w:r>
        <w:rPr>
          <w:rFonts w:hint="eastAsia" w:ascii="宋体" w:hAnsi="宋体" w:cs="宋体"/>
          <w:color w:val="auto"/>
          <w:sz w:val="21"/>
          <w:szCs w:val="21"/>
          <w:lang w:val="en-US" w:eastAsia="zh-CN"/>
        </w:rPr>
        <w:t>原则上应</w:t>
      </w:r>
      <w:r>
        <w:rPr>
          <w:rFonts w:hint="eastAsia" w:ascii="宋体" w:hAnsi="宋体" w:eastAsia="宋体" w:cs="宋体"/>
          <w:color w:val="auto"/>
          <w:sz w:val="21"/>
          <w:szCs w:val="21"/>
        </w:rPr>
        <w:t>成立</w:t>
      </w:r>
      <w:r>
        <w:rPr>
          <w:rFonts w:hint="default" w:ascii="宋体" w:hAnsi="宋体" w:eastAsia="宋体" w:cs="宋体"/>
          <w:color w:val="auto"/>
          <w:sz w:val="21"/>
          <w:szCs w:val="21"/>
        </w:rPr>
        <w:t>3</w:t>
      </w:r>
      <w:r>
        <w:rPr>
          <w:rFonts w:hint="eastAsia" w:ascii="宋体" w:hAnsi="宋体" w:eastAsia="宋体" w:cs="宋体"/>
          <w:color w:val="auto"/>
          <w:sz w:val="21"/>
          <w:szCs w:val="21"/>
        </w:rPr>
        <w:t>年以上，注册资金</w:t>
      </w:r>
      <w:r>
        <w:rPr>
          <w:rFonts w:hint="default" w:ascii="宋体" w:hAnsi="宋体" w:eastAsia="宋体" w:cs="宋体"/>
          <w:color w:val="auto"/>
          <w:sz w:val="21"/>
          <w:szCs w:val="21"/>
        </w:rPr>
        <w:t>100</w:t>
      </w:r>
      <w:r>
        <w:rPr>
          <w:rFonts w:hint="eastAsia" w:ascii="宋体" w:hAnsi="宋体" w:eastAsia="宋体" w:cs="宋体"/>
          <w:color w:val="auto"/>
          <w:sz w:val="21"/>
          <w:szCs w:val="21"/>
        </w:rPr>
        <w:t>万以上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具备有效的营业执照，其经营范围应涵盖公关服务、广告宣传、舆情监测与分析等相关领域，并具备承担招标项目的能力。</w:t>
      </w:r>
      <w:r>
        <w:rPr>
          <w:rFonts w:hint="eastAsia" w:ascii="宋体" w:hAnsi="宋体" w:cs="宋体"/>
          <w:color w:val="auto"/>
          <w:sz w:val="21"/>
          <w:szCs w:val="21"/>
          <w:lang w:val="en-US" w:eastAsia="zh-CN"/>
        </w:rPr>
        <w:t>特别优秀者可适当放宽条件。</w:t>
      </w:r>
    </w:p>
    <w:bookmarkEnd w:id="71"/>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（2）具备履行本项目所需的专业团队和技术能力，</w:t>
      </w:r>
      <w:r>
        <w:rPr>
          <w:rFonts w:hint="eastAsia" w:ascii="宋体" w:hAnsi="宋体" w:cs="宋体"/>
          <w:color w:val="auto"/>
          <w:sz w:val="21"/>
          <w:szCs w:val="21"/>
          <w:lang w:val="en-US" w:eastAsia="zh-CN"/>
        </w:rPr>
        <w:t>投标申请人及相关</w:t>
      </w:r>
      <w:r>
        <w:rPr>
          <w:rFonts w:hint="eastAsia" w:ascii="宋体" w:hAnsi="宋体" w:eastAsia="宋体" w:cs="宋体"/>
          <w:color w:val="auto"/>
          <w:sz w:val="21"/>
          <w:szCs w:val="21"/>
        </w:rPr>
        <w:t>人员具备专业职称资质证明。</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（3）应有良好的财务状况和商业信用，无重大违法违规记录</w:t>
      </w:r>
      <w:r>
        <w:rPr>
          <w:rFonts w:hint="eastAsia" w:ascii="宋体" w:hAnsi="宋体" w:cs="宋体"/>
          <w:color w:val="auto"/>
          <w:sz w:val="21"/>
          <w:szCs w:val="21"/>
          <w:lang w:eastAsia="zh-CN"/>
        </w:rPr>
        <w:t>，</w:t>
      </w:r>
      <w:r>
        <w:rPr>
          <w:rFonts w:hint="eastAsia"/>
          <w:color w:val="auto"/>
          <w:highlight w:val="none"/>
        </w:rPr>
        <w:t>不属于有腐败和欺诈行为的不合格的投标人</w:t>
      </w:r>
      <w:r>
        <w:rPr>
          <w:rFonts w:hint="eastAsia" w:ascii="宋体" w:hAnsi="宋体" w:eastAsia="宋体" w:cs="宋体"/>
          <w:color w:val="auto"/>
          <w:sz w:val="21"/>
          <w:szCs w:val="21"/>
        </w:rPr>
        <w:t>。</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（4）具有开展包括市场调查、媒体实施</w:t>
      </w:r>
      <w:r>
        <w:rPr>
          <w:rFonts w:hint="eastAsia" w:ascii="宋体" w:hAnsi="宋体" w:cs="宋体"/>
          <w:color w:val="auto"/>
          <w:sz w:val="21"/>
          <w:szCs w:val="21"/>
          <w:lang w:eastAsia="zh-CN"/>
        </w:rPr>
        <w:t>、</w:t>
      </w:r>
      <w:r>
        <w:rPr>
          <w:rFonts w:hint="eastAsia" w:ascii="宋体" w:hAnsi="宋体" w:eastAsia="宋体" w:cs="宋体"/>
          <w:color w:val="auto"/>
          <w:sz w:val="21"/>
          <w:szCs w:val="21"/>
        </w:rPr>
        <w:t>危机公关等内容的整体策划服务能力和经营实绩。</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val="en-US" w:eastAsia="zh-CN"/>
        </w:rPr>
        <w:t>原则上</w:t>
      </w:r>
      <w:r>
        <w:rPr>
          <w:rFonts w:hint="eastAsia" w:ascii="宋体" w:hAnsi="宋体" w:eastAsia="宋体" w:cs="宋体"/>
          <w:color w:val="auto"/>
          <w:sz w:val="21"/>
          <w:szCs w:val="21"/>
          <w:lang w:val="en-US" w:eastAsia="zh-CN"/>
        </w:rPr>
        <w:t>应具有至少</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个与金融机构（银行优先）开展</w:t>
      </w:r>
      <w:r>
        <w:rPr>
          <w:rFonts w:hint="eastAsia" w:ascii="宋体" w:hAnsi="宋体" w:cs="宋体"/>
          <w:color w:val="auto"/>
          <w:sz w:val="21"/>
          <w:szCs w:val="21"/>
          <w:lang w:val="en-US" w:eastAsia="zh-CN"/>
        </w:rPr>
        <w:t>新媒体运营</w:t>
      </w:r>
      <w:r>
        <w:rPr>
          <w:rFonts w:hint="eastAsia" w:ascii="宋体" w:hAnsi="宋体" w:eastAsia="宋体" w:cs="宋体"/>
          <w:color w:val="auto"/>
          <w:sz w:val="21"/>
          <w:szCs w:val="21"/>
          <w:lang w:val="en-US" w:eastAsia="zh-CN"/>
        </w:rPr>
        <w:t>的成功案例</w:t>
      </w:r>
      <w:r>
        <w:rPr>
          <w:rFonts w:hint="eastAsia" w:ascii="宋体" w:hAnsi="宋体" w:eastAsia="宋体" w:cs="宋体"/>
          <w:color w:val="auto"/>
          <w:sz w:val="21"/>
          <w:szCs w:val="21"/>
        </w:rPr>
        <w:t>。</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）法定代表人为同一个人的两个及两个以上法人，母公司、全资子公司及其控股公司，只能有一家参加投标。</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w:t>
      </w:r>
      <w:r>
        <w:rPr>
          <w:rFonts w:hint="eastAsia" w:ascii="宋体" w:hAnsi="宋体" w:eastAsia="宋体" w:cs="宋体"/>
          <w:color w:val="auto"/>
          <w:sz w:val="21"/>
          <w:szCs w:val="21"/>
        </w:rPr>
        <w:t>不接受联合体投标。</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投标人应具备年检有效期内的营业执照、组织机构代码证、税务登记证复印件具备增值税一般纳税人资格。</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投标人应遵守《中华人民共和国招标投标法》《中华人民共和国政府采购法》及其相关的中华人民共和国法律和法规。</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2" w:name="_Toc55544808"/>
      <w:r>
        <w:rPr>
          <w:rFonts w:hint="eastAsia"/>
          <w:color w:val="auto"/>
          <w:highlight w:val="none"/>
        </w:rPr>
        <w:t>注意事项</w:t>
      </w:r>
      <w:bookmarkEnd w:id="12"/>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在投标文件评审期间，除投标人被要求对投标文件进行解释外，投标人不得就与招标有关的事项主动与评审委员会以及招标人联系。</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在投标文件评审期间，投标人试图在投标文件审查、解释、比较和评价时对评审委员会施加任何影响或对招标人的评审结果进行影响，都可能导致其投标文件被拒绝。</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投标人不得串通作弊，以不正当的手段妨碍、排挤其他投标人，破坏公平竞争原则。</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获得本招标文件者，应对文件进行保密，不得用作本次招标以外的任何用途。</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招标人向投标人提供的</w:t>
      </w:r>
      <w:r>
        <w:rPr>
          <w:rFonts w:ascii="Arial" w:hAnsi="Arial"/>
          <w:color w:val="auto"/>
          <w:highlight w:val="none"/>
        </w:rPr>
        <w:t>公司介绍、项目背景、项目内容和开展计划等相关资料，</w:t>
      </w:r>
      <w:r>
        <w:rPr>
          <w:rFonts w:hint="eastAsia"/>
          <w:color w:val="auto"/>
          <w:highlight w:val="none"/>
        </w:rPr>
        <w:t>被视为保密资料，仅被用于它所规定的用途，除非得到招标人的同意，不能向任何第三方透露。</w:t>
      </w:r>
      <w:r>
        <w:rPr>
          <w:rFonts w:ascii="Arial" w:hAnsi="Arial"/>
          <w:color w:val="auto"/>
          <w:highlight w:val="none"/>
        </w:rPr>
        <w:t>否则招标人将保留采取</w:t>
      </w:r>
      <w:r>
        <w:rPr>
          <w:rFonts w:hint="eastAsia" w:ascii="Arial" w:hAnsi="Arial"/>
          <w:color w:val="auto"/>
          <w:highlight w:val="none"/>
        </w:rPr>
        <w:t>相应</w:t>
      </w:r>
      <w:r>
        <w:rPr>
          <w:rFonts w:ascii="Arial" w:hAnsi="Arial"/>
          <w:color w:val="auto"/>
          <w:highlight w:val="none"/>
        </w:rPr>
        <w:t>法律措施的权利</w:t>
      </w:r>
      <w:r>
        <w:rPr>
          <w:rFonts w:hint="eastAsia"/>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投标人利用不当手段，误导其他投标人做出非合理行为，均会导致其投标文件被拒绝。</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3" w:name="_Toc55544809"/>
      <w:r>
        <w:rPr>
          <w:rFonts w:hint="eastAsia"/>
          <w:color w:val="auto"/>
          <w:highlight w:val="none"/>
        </w:rPr>
        <w:t>保证</w:t>
      </w:r>
      <w:bookmarkEnd w:id="13"/>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投标人保证所提交给招标人的资料和数据是真实的、完整的、合法的和有效的，并对此承担相应的法律责任。</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4" w:name="_Toc55544810"/>
      <w:r>
        <w:rPr>
          <w:rFonts w:hint="eastAsia"/>
          <w:color w:val="auto"/>
          <w:highlight w:val="none"/>
        </w:rPr>
        <w:t>相关费用</w:t>
      </w:r>
      <w:bookmarkEnd w:id="14"/>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投标人应承担其编制、提交投标文件以及参加本次招标的所有费用，不论招标的结果如何，招标人在任何情况下均无义务和责任承担这些费用。</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5" w:name="_Toc55544811"/>
      <w:r>
        <w:rPr>
          <w:rFonts w:hint="eastAsia"/>
          <w:color w:val="auto"/>
          <w:highlight w:val="none"/>
          <w:lang w:val="en-US" w:eastAsia="zh-CN"/>
        </w:rPr>
        <w:t>其他</w:t>
      </w:r>
      <w:r>
        <w:rPr>
          <w:rFonts w:hint="eastAsia"/>
          <w:color w:val="auto"/>
          <w:highlight w:val="none"/>
        </w:rPr>
        <w:t>要求</w:t>
      </w:r>
      <w:bookmarkEnd w:id="15"/>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中标人在项目实施中，我行提供的业务、技术信息和所有相关文档为我行重要保密信息，</w:t>
      </w:r>
      <w:r>
        <w:rPr>
          <w:rFonts w:hint="eastAsia" w:ascii="宋体" w:hAnsi="宋体" w:eastAsia="宋体" w:cs="宋体"/>
          <w:color w:val="auto"/>
          <w:sz w:val="24"/>
          <w:szCs w:val="24"/>
        </w:rPr>
        <w:t>不得向第三方泄露任何关于项目招标人的资料及项目情况。</w:t>
      </w:r>
      <w:r>
        <w:rPr>
          <w:rFonts w:hint="eastAsia"/>
          <w:color w:val="auto"/>
          <w:highlight w:val="none"/>
        </w:rPr>
        <w:t>由中标人导致的信息泄露所造成的损失，由中标人承担。</w:t>
      </w:r>
    </w:p>
    <w:p>
      <w:pPr>
        <w:pStyle w:val="2"/>
        <w:keepNext w:val="0"/>
        <w:keepLines w:val="0"/>
        <w:pageBreakBefore w:val="0"/>
        <w:widowControl w:val="0"/>
        <w:kinsoku/>
        <w:overflowPunct/>
        <w:topLinePunct w:val="0"/>
        <w:bidi w:val="0"/>
        <w:textAlignment w:val="auto"/>
        <w:rPr>
          <w:color w:val="auto"/>
          <w:highlight w:val="none"/>
        </w:rPr>
      </w:pPr>
      <w:bookmarkStart w:id="16" w:name="_Toc55544812"/>
      <w:bookmarkStart w:id="17" w:name="_Toc22757"/>
      <w:r>
        <w:rPr>
          <w:rFonts w:hint="eastAsia"/>
          <w:color w:val="auto"/>
          <w:highlight w:val="none"/>
        </w:rPr>
        <w:t>招标文件</w:t>
      </w:r>
      <w:bookmarkEnd w:id="16"/>
      <w:bookmarkEnd w:id="17"/>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8" w:name="_Toc55544813"/>
      <w:r>
        <w:rPr>
          <w:rFonts w:hint="eastAsia"/>
          <w:color w:val="auto"/>
          <w:highlight w:val="none"/>
        </w:rPr>
        <w:t>招标文件构成</w:t>
      </w:r>
      <w:bookmarkEnd w:id="18"/>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招标文件包括：</w:t>
      </w:r>
    </w:p>
    <w:p>
      <w:pPr>
        <w:keepNext w:val="0"/>
        <w:keepLines w:val="0"/>
        <w:pageBreakBefore w:val="0"/>
        <w:widowControl w:val="0"/>
        <w:kinsoku/>
        <w:overflowPunct/>
        <w:topLinePunct w:val="0"/>
        <w:bidi w:val="0"/>
        <w:spacing w:line="360" w:lineRule="auto"/>
        <w:ind w:left="1077"/>
        <w:textAlignment w:val="auto"/>
        <w:rPr>
          <w:rFonts w:ascii="宋体"/>
          <w:b/>
          <w:color w:val="auto"/>
          <w:highlight w:val="none"/>
        </w:rPr>
      </w:pPr>
      <w:r>
        <w:rPr>
          <w:rFonts w:hint="eastAsia" w:ascii="宋体"/>
          <w:b/>
          <w:color w:val="auto"/>
          <w:highlight w:val="none"/>
        </w:rPr>
        <w:t>第一部分</w:t>
      </w:r>
      <w:r>
        <w:rPr>
          <w:rFonts w:hint="eastAsia" w:ascii="宋体" w:hAnsi="宋体"/>
          <w:b/>
          <w:color w:val="auto"/>
          <w:highlight w:val="none"/>
        </w:rPr>
        <w:t>投标人须知</w:t>
      </w:r>
    </w:p>
    <w:p>
      <w:pPr>
        <w:keepNext w:val="0"/>
        <w:keepLines w:val="0"/>
        <w:pageBreakBefore w:val="0"/>
        <w:widowControl w:val="0"/>
        <w:kinsoku/>
        <w:overflowPunct/>
        <w:topLinePunct w:val="0"/>
        <w:bidi w:val="0"/>
        <w:spacing w:line="360" w:lineRule="auto"/>
        <w:ind w:left="1077"/>
        <w:textAlignment w:val="auto"/>
        <w:rPr>
          <w:rFonts w:ascii="宋体"/>
          <w:b/>
          <w:color w:val="auto"/>
          <w:highlight w:val="none"/>
        </w:rPr>
      </w:pPr>
      <w:r>
        <w:rPr>
          <w:rFonts w:hint="eastAsia" w:ascii="宋体"/>
          <w:b/>
          <w:color w:val="auto"/>
          <w:highlight w:val="none"/>
        </w:rPr>
        <w:t>第二部分</w:t>
      </w:r>
      <w:r>
        <w:rPr>
          <w:rFonts w:hint="eastAsia" w:ascii="宋体"/>
          <w:b/>
          <w:color w:val="auto"/>
          <w:highlight w:val="none"/>
          <w:lang w:val="en-US" w:eastAsia="zh-CN"/>
        </w:rPr>
        <w:t>项目</w:t>
      </w:r>
      <w:r>
        <w:rPr>
          <w:rFonts w:hint="eastAsia" w:ascii="宋体"/>
          <w:b/>
          <w:color w:val="auto"/>
          <w:highlight w:val="none"/>
        </w:rPr>
        <w:t>需求说明书</w:t>
      </w:r>
    </w:p>
    <w:p>
      <w:pPr>
        <w:keepNext w:val="0"/>
        <w:keepLines w:val="0"/>
        <w:pageBreakBefore w:val="0"/>
        <w:widowControl w:val="0"/>
        <w:kinsoku/>
        <w:overflowPunct/>
        <w:topLinePunct w:val="0"/>
        <w:bidi w:val="0"/>
        <w:spacing w:line="360" w:lineRule="auto"/>
        <w:ind w:left="1077"/>
        <w:textAlignment w:val="auto"/>
        <w:rPr>
          <w:rFonts w:ascii="宋体"/>
          <w:b/>
          <w:color w:val="auto"/>
          <w:highlight w:val="none"/>
        </w:rPr>
      </w:pPr>
      <w:r>
        <w:rPr>
          <w:rFonts w:hint="eastAsia" w:ascii="宋体"/>
          <w:b/>
          <w:color w:val="auto"/>
          <w:highlight w:val="none"/>
        </w:rPr>
        <w:t>第三部分投标文件格式</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投标人应认真阅读招标文件中所有的事项、格式、条款</w:t>
      </w:r>
      <w:r>
        <w:rPr>
          <w:rFonts w:hint="eastAsia"/>
          <w:color w:val="auto"/>
          <w:highlight w:val="none"/>
          <w:lang w:val="en-US" w:eastAsia="zh-CN"/>
        </w:rPr>
        <w:t>和</w:t>
      </w:r>
      <w:r>
        <w:rPr>
          <w:rFonts w:hint="eastAsia"/>
          <w:color w:val="auto"/>
          <w:highlight w:val="none"/>
        </w:rPr>
        <w:t>规范等。投标人没有按照招标文件要求提交全部资料，或者投标文件没有对招标文件各方面要求作出实质性响应，将有可能导致其投标文件被拒绝。</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9" w:name="_Toc55544814"/>
      <w:r>
        <w:rPr>
          <w:rFonts w:hint="eastAsia"/>
          <w:color w:val="auto"/>
          <w:highlight w:val="none"/>
        </w:rPr>
        <w:t>招标文件的解释与修改</w:t>
      </w:r>
      <w:bookmarkEnd w:id="19"/>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在提交投标文件之前，招标人以书面形式对任何要求对招标文件进行澄清的，投标人应予以逐条答复，并将该书面答复发送给招标文件的每个收受人。</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在提交投标文件之前，无论出于何种原因，招标人可随时在解答投标人提出的需澄清的问题时，向招标文件的所有收受人发送对招标文件的修改文件。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招标文件的澄清和修改文件将以书面形式通知招标文件的所有收受人，该澄清和修改文件也是招标文件的组成部</w:t>
      </w:r>
      <w:r>
        <w:rPr>
          <w:rFonts w:hint="eastAsia"/>
          <w:color w:val="auto"/>
          <w:highlight w:val="none"/>
          <w:lang w:val="en-US" w:eastAsia="zh-CN"/>
        </w:rPr>
        <w:t>分</w:t>
      </w:r>
      <w:r>
        <w:rPr>
          <w:rFonts w:hint="eastAsia"/>
          <w:color w:val="auto"/>
          <w:highlight w:val="none"/>
        </w:rPr>
        <w:t>，并对投标人具有约束力。</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为使投标人编写投标文件时有充分时间对招标文件的修改部分进行研究，招标人可酌情推迟递交投标文件截止时间，并将推迟决定以电话/传真形式通知所有招标文件的收受人。</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投标人在收到招标人发给的任何澄清和修改文件时，都应在收到后立即以书面或传真形式向招标人确认。</w:t>
      </w:r>
    </w:p>
    <w:p>
      <w:pPr>
        <w:pStyle w:val="2"/>
        <w:keepNext w:val="0"/>
        <w:keepLines w:val="0"/>
        <w:pageBreakBefore w:val="0"/>
        <w:widowControl w:val="0"/>
        <w:kinsoku/>
        <w:overflowPunct/>
        <w:topLinePunct w:val="0"/>
        <w:bidi w:val="0"/>
        <w:textAlignment w:val="auto"/>
        <w:rPr>
          <w:color w:val="auto"/>
          <w:highlight w:val="none"/>
        </w:rPr>
      </w:pPr>
      <w:bookmarkStart w:id="20" w:name="_Toc3990"/>
      <w:bookmarkStart w:id="21" w:name="_Toc55544815"/>
      <w:r>
        <w:rPr>
          <w:rFonts w:hint="eastAsia"/>
          <w:color w:val="auto"/>
          <w:highlight w:val="none"/>
        </w:rPr>
        <w:t>投标文件的编制</w:t>
      </w:r>
      <w:bookmarkEnd w:id="20"/>
      <w:bookmarkEnd w:id="21"/>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2" w:name="_Toc55544816"/>
      <w:r>
        <w:rPr>
          <w:rFonts w:hint="eastAsia"/>
          <w:color w:val="auto"/>
          <w:highlight w:val="none"/>
        </w:rPr>
        <w:t>投标语言及计量</w:t>
      </w:r>
      <w:bookmarkEnd w:id="22"/>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rPr>
          <w:color w:val="auto"/>
          <w:highlight w:val="none"/>
        </w:rPr>
        <w:t>错误或</w:t>
      </w:r>
      <w:r>
        <w:rPr>
          <w:rFonts w:hint="eastAsia"/>
          <w:color w:val="auto"/>
          <w:highlight w:val="none"/>
        </w:rPr>
        <w:t>因投标人与招标人对回复文件中文版本的理解存在</w:t>
      </w:r>
      <w:r>
        <w:rPr>
          <w:color w:val="auto"/>
          <w:highlight w:val="none"/>
        </w:rPr>
        <w:t>差异而导致的机会丧失或其他问题，自行承担风险。</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投标人提交的投标文件中涉及简称或缩写的须注明其中文全称和中文含义。</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除非在招标文件中另有规定，投标人在投标文件中及其与招标人的所有往来文件中的计量单位均应采用中华人民共和国法定计量单位。</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 xml:space="preserve">投标人提供的任何资料中所提及的业务和技术用语，应符合国内银行业务和技术监管部门的通用解释，有差异的应特别注明。 </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3" w:name="_Toc55544817"/>
      <w:r>
        <w:rPr>
          <w:rFonts w:hint="eastAsia"/>
          <w:color w:val="auto"/>
          <w:highlight w:val="none"/>
        </w:rPr>
        <w:t>投标文件的式样和签署</w:t>
      </w:r>
      <w:bookmarkEnd w:id="23"/>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投标人应准备投标文件</w:t>
      </w:r>
      <w:r>
        <w:rPr>
          <w:rFonts w:hint="eastAsia"/>
          <w:b/>
          <w:i/>
          <w:color w:val="auto"/>
          <w:highlight w:val="none"/>
          <w:u w:val="single"/>
        </w:rPr>
        <w:t>1份正本和4份副本</w:t>
      </w:r>
      <w:r>
        <w:rPr>
          <w:rFonts w:hint="eastAsia"/>
          <w:color w:val="auto"/>
          <w:highlight w:val="none"/>
        </w:rPr>
        <w:t>，投标文件须清楚地标明“正本”和“副本”字样。如正本和副本不符，以正本为准。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投标人应同时提交与投标文件正本内容相同的电子文件一套（以U盘形式，投标文件采用WORD格式，报价文件为Excl格式），如电子文件与正本书面文件不符，以正本书面文件为准。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投标文件正本须用不褪色墨水书写或打印，由投标人的法定代表人或经其正式授权的代表签署。被授权代表须将以书面形式出具的《法定代表人授权书》</w:t>
      </w:r>
      <w:r>
        <w:rPr>
          <w:rFonts w:hint="eastAsia"/>
          <w:b/>
          <w:color w:val="auto"/>
          <w:highlight w:val="none"/>
        </w:rPr>
        <w:t>（原件）</w:t>
      </w:r>
      <w:r>
        <w:rPr>
          <w:rFonts w:hint="eastAsia"/>
          <w:color w:val="auto"/>
          <w:highlight w:val="none"/>
        </w:rPr>
        <w:t>附在投标文件中。</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投标文件的任何行间插字、涂改和增删，必须由投标人在旁边加盖公章才有效。</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在招标文件中已明示需盖章及签名之处，投标文件正本均须由投标人加盖投标人公章，并经投标人法定代表人或其授权代表签名或盖章。</w:t>
      </w:r>
      <w:r>
        <w:rPr>
          <w:rFonts w:hint="eastAsia"/>
          <w:b/>
          <w:color w:val="auto"/>
          <w:highlight w:val="none"/>
        </w:rPr>
        <w:t>投标文件</w:t>
      </w:r>
      <w:r>
        <w:rPr>
          <w:rFonts w:hint="eastAsia" w:hAnsi="宋体"/>
          <w:b/>
          <w:color w:val="auto"/>
          <w:highlight w:val="none"/>
        </w:rPr>
        <w:t>正本须加盖投标人公章骑缝章</w:t>
      </w:r>
      <w:r>
        <w:rPr>
          <w:rFonts w:hint="eastAsia" w:hAnsi="宋体"/>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投标文件副本可采用投标文件的正本复印而成。</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传真或电传的投标文件将被拒绝。</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由于投标文件正本、副本和电子文件相互之间任何不符而导致的所有后果，由投标人自行承担。</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4" w:name="_Toc55544818"/>
      <w:r>
        <w:rPr>
          <w:rFonts w:hint="eastAsia"/>
          <w:color w:val="auto"/>
          <w:highlight w:val="none"/>
        </w:rPr>
        <w:t>投标文件的构成</w:t>
      </w:r>
      <w:bookmarkEnd w:id="24"/>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投标人应认真审阅本招标文件，并按相关规定，提交完整的投标文件。本次招标要求投标方提供服务方案、实施、培训、售后服务等一揽子解决方案及报价。</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投标文件的内容包含如下：</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投标函（格式见第三部分：投标文件格式）；</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投标报价表（格式见第三部分：投标文件格式）；</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法定代表人授权委托书；</w:t>
      </w:r>
    </w:p>
    <w:p>
      <w:pPr>
        <w:keepNext w:val="0"/>
        <w:keepLines w:val="0"/>
        <w:pageBreakBefore w:val="0"/>
        <w:widowControl w:val="0"/>
        <w:numPr>
          <w:ilvl w:val="0"/>
          <w:numId w:val="2"/>
        </w:numPr>
        <w:kinsoku/>
        <w:overflowPunct/>
        <w:topLinePunct w:val="0"/>
        <w:bidi w:val="0"/>
        <w:spacing w:line="360" w:lineRule="auto"/>
        <w:jc w:val="left"/>
        <w:textAlignment w:val="auto"/>
        <w:rPr>
          <w:rFonts w:hint="eastAsia"/>
          <w:color w:val="auto"/>
          <w:highlight w:val="none"/>
        </w:rPr>
      </w:pPr>
      <w:r>
        <w:rPr>
          <w:rFonts w:hint="eastAsia"/>
          <w:color w:val="auto"/>
          <w:highlight w:val="none"/>
        </w:rPr>
        <w:t>公司介绍：包括但不限于公司注册资本、业务规模、组织架构、财务状况、技术队伍及实施服务能力等，以及证明公司综合实力、技术力量、开发经验、信誉和资质的材料复印件；</w:t>
      </w:r>
      <w:r>
        <w:rPr>
          <w:rFonts w:hint="eastAsia"/>
          <w:color w:val="auto"/>
          <w:highlight w:val="none"/>
          <w:lang w:val="en-US" w:eastAsia="zh-CN"/>
        </w:rPr>
        <w:t>近三年来与金融机构（银行优先）合作开展舆情监测（公关工作）的案例资料等；</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投标人应递交的有关证明文件；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重要提示</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投标文件内容应严格按照招标文件要求进行编排；</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投标文件应按照招标文件的要求如实响应：</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投标文件不得随意涂改、加页或减页。</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5" w:name="_Toc55544819"/>
      <w:r>
        <w:rPr>
          <w:rFonts w:hint="eastAsia"/>
          <w:color w:val="auto"/>
          <w:highlight w:val="none"/>
        </w:rPr>
        <w:t>投标报价</w:t>
      </w:r>
      <w:bookmarkEnd w:id="25"/>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投标人应按照投标报价表格式要求报价</w:t>
      </w:r>
      <w:r>
        <w:rPr>
          <w:rFonts w:hint="eastAsia"/>
          <w:color w:val="auto"/>
          <w:highlight w:val="none"/>
          <w:lang w:eastAsia="zh-CN"/>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投标报价指各种费用和服务、税金等所有成本费用及合理利润的总和</w:t>
      </w:r>
      <w:r>
        <w:rPr>
          <w:rFonts w:hint="eastAsia"/>
          <w:color w:val="auto"/>
          <w:highlight w:val="none"/>
          <w:lang w:eastAsia="zh-CN"/>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投标报价作为评标的依据之一，招标人不保证最低报价中标。</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6" w:name="_Toc55544820"/>
      <w:r>
        <w:rPr>
          <w:rFonts w:hint="eastAsia"/>
          <w:color w:val="auto"/>
          <w:highlight w:val="none"/>
        </w:rPr>
        <w:t>报价货币</w:t>
      </w:r>
      <w:bookmarkEnd w:id="26"/>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投标人提供的产品和服务在报价时必须用人民币。</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7" w:name="_Toc55544821"/>
      <w:r>
        <w:rPr>
          <w:rFonts w:hint="eastAsia"/>
          <w:color w:val="auto"/>
          <w:highlight w:val="none"/>
        </w:rPr>
        <w:t>投标人应递交的有关证明文件</w:t>
      </w:r>
      <w:bookmarkEnd w:id="27"/>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投标人应提交证明其有资格和能力履行合同的文件，并作为其投标文件的一部</w:t>
      </w:r>
      <w:r>
        <w:rPr>
          <w:rFonts w:hint="eastAsia"/>
          <w:color w:val="auto"/>
          <w:highlight w:val="none"/>
          <w:lang w:val="en-US" w:eastAsia="zh-CN"/>
        </w:rPr>
        <w:t>分</w:t>
      </w:r>
      <w:r>
        <w:rPr>
          <w:rFonts w:hint="eastAsia"/>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投标人须提交，包括但不限于以下证明文件：</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投标人的资格声明；</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法定代表人授权委托书；</w:t>
      </w:r>
    </w:p>
    <w:p>
      <w:pPr>
        <w:keepNext w:val="0"/>
        <w:keepLines w:val="0"/>
        <w:pageBreakBefore w:val="0"/>
        <w:widowControl w:val="0"/>
        <w:numPr>
          <w:ilvl w:val="0"/>
          <w:numId w:val="4"/>
        </w:numPr>
        <w:kinsoku/>
        <w:overflowPunct/>
        <w:topLinePunct w:val="0"/>
        <w:bidi w:val="0"/>
        <w:spacing w:line="360" w:lineRule="auto"/>
        <w:textAlignment w:val="auto"/>
        <w:rPr>
          <w:rFonts w:ascii="宋体" w:hAnsi="宋体"/>
          <w:color w:val="auto"/>
          <w:highlight w:val="none"/>
        </w:rPr>
      </w:pPr>
      <w:r>
        <w:rPr>
          <w:rFonts w:hint="eastAsia" w:ascii="宋体" w:hAnsi="宋体"/>
          <w:color w:val="auto"/>
          <w:highlight w:val="none"/>
        </w:rPr>
        <w:t>授权代理人身份证复印件（正、反面）及公司法定代表人身份证复印件（正、反面）；</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投标人营业执照</w:t>
      </w:r>
      <w:r>
        <w:rPr>
          <w:rFonts w:hint="eastAsia" w:ascii="宋体" w:hAnsi="宋体"/>
          <w:color w:val="auto"/>
          <w:highlight w:val="none"/>
        </w:rPr>
        <w:t>（投标书中附复印件，加盖报价人鲜章；</w:t>
      </w:r>
      <w:r>
        <w:rPr>
          <w:rFonts w:hint="eastAsia" w:ascii="宋体" w:hAnsi="宋体"/>
          <w:b/>
          <w:i/>
          <w:color w:val="auto"/>
          <w:highlight w:val="none"/>
          <w:u w:val="single"/>
        </w:rPr>
        <w:t>开标时带原件备审</w:t>
      </w:r>
      <w:r>
        <w:rPr>
          <w:rFonts w:hint="eastAsia" w:ascii="宋体" w:hAnsi="宋体"/>
          <w:color w:val="auto"/>
          <w:highlight w:val="none"/>
        </w:rPr>
        <w:t>）</w:t>
      </w:r>
      <w:r>
        <w:rPr>
          <w:rFonts w:hint="eastAsia"/>
          <w:color w:val="auto"/>
          <w:highlight w:val="none"/>
        </w:rPr>
        <w:t>；</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投标人组织机构代码证</w:t>
      </w:r>
      <w:r>
        <w:rPr>
          <w:rFonts w:hint="eastAsia" w:ascii="宋体" w:hAnsi="宋体"/>
          <w:color w:val="auto"/>
          <w:highlight w:val="none"/>
        </w:rPr>
        <w:t>（投标书中附复印件，加盖报价人鲜章；</w:t>
      </w:r>
      <w:r>
        <w:rPr>
          <w:rFonts w:hint="eastAsia" w:ascii="宋体" w:hAnsi="宋体"/>
          <w:b/>
          <w:i/>
          <w:color w:val="auto"/>
          <w:highlight w:val="none"/>
          <w:u w:val="single"/>
        </w:rPr>
        <w:t>开标时带原件备审</w:t>
      </w:r>
      <w:r>
        <w:rPr>
          <w:rFonts w:hint="eastAsia" w:ascii="宋体" w:hAnsi="宋体"/>
          <w:color w:val="auto"/>
          <w:highlight w:val="none"/>
        </w:rPr>
        <w:t>）</w:t>
      </w:r>
      <w:r>
        <w:rPr>
          <w:rFonts w:hint="eastAsia"/>
          <w:color w:val="auto"/>
          <w:highlight w:val="none"/>
        </w:rPr>
        <w:t>；</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投标人税务登记证</w:t>
      </w:r>
      <w:r>
        <w:rPr>
          <w:rFonts w:hint="eastAsia" w:ascii="宋体" w:hAnsi="宋体"/>
          <w:color w:val="auto"/>
          <w:highlight w:val="none"/>
        </w:rPr>
        <w:t>（投标书中附复印件，加盖报价人鲜章；</w:t>
      </w:r>
      <w:r>
        <w:rPr>
          <w:rFonts w:hint="eastAsia" w:ascii="宋体" w:hAnsi="宋体"/>
          <w:b/>
          <w:i/>
          <w:color w:val="auto"/>
          <w:highlight w:val="none"/>
          <w:u w:val="single"/>
        </w:rPr>
        <w:t>开标时带原件备审</w:t>
      </w:r>
      <w:r>
        <w:rPr>
          <w:rFonts w:hint="eastAsia" w:ascii="宋体" w:hAnsi="宋体"/>
          <w:color w:val="auto"/>
          <w:highlight w:val="none"/>
        </w:rPr>
        <w:t>）</w:t>
      </w:r>
      <w:r>
        <w:rPr>
          <w:rFonts w:hint="eastAsia"/>
          <w:color w:val="auto"/>
          <w:highlight w:val="none"/>
        </w:rPr>
        <w:t>；</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类似项目金融行业案例证明材料（复印件，加盖报价人鲜章）；</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lang w:val="en-US" w:eastAsia="zh-CN"/>
        </w:rPr>
        <w:t>商务资格审查文件</w:t>
      </w:r>
      <w:r>
        <w:rPr>
          <w:rFonts w:hint="eastAsia"/>
          <w:color w:val="auto"/>
          <w:highlight w:val="none"/>
        </w:rPr>
        <w:t>（格式见第三部分：投标文件格式）；</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公司认为需要提供的其他文件及资料。</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按国家法律法规及相关办法规定的从事此类项目的所需具备的一切资质，投标人都应具有，否则将视为无效投标。</w:t>
      </w:r>
    </w:p>
    <w:p>
      <w:pPr>
        <w:pStyle w:val="2"/>
        <w:keepNext w:val="0"/>
        <w:keepLines w:val="0"/>
        <w:pageBreakBefore w:val="0"/>
        <w:widowControl w:val="0"/>
        <w:kinsoku/>
        <w:overflowPunct/>
        <w:topLinePunct w:val="0"/>
        <w:bidi w:val="0"/>
        <w:textAlignment w:val="auto"/>
        <w:rPr>
          <w:color w:val="auto"/>
          <w:highlight w:val="none"/>
        </w:rPr>
      </w:pPr>
      <w:bookmarkStart w:id="28" w:name="_Toc29303"/>
      <w:bookmarkStart w:id="29" w:name="_Toc55544822"/>
      <w:r>
        <w:rPr>
          <w:rFonts w:hint="eastAsia"/>
          <w:color w:val="auto"/>
          <w:highlight w:val="none"/>
        </w:rPr>
        <w:t>投标文件的递交</w:t>
      </w:r>
      <w:bookmarkEnd w:id="28"/>
      <w:bookmarkEnd w:id="29"/>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0" w:name="_Toc55544823"/>
      <w:r>
        <w:rPr>
          <w:rFonts w:hint="eastAsia"/>
          <w:color w:val="auto"/>
          <w:highlight w:val="none"/>
        </w:rPr>
        <w:t>投标文件的密封和标记</w:t>
      </w:r>
      <w:bookmarkEnd w:id="30"/>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投标人应将投标文件正本和所有的副本分开密封装在单独的封套中，且在封套上标明“正本”、“副本”字样。</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封套均应按以下要求标记：</w:t>
      </w:r>
    </w:p>
    <w:p>
      <w:pPr>
        <w:keepNext w:val="0"/>
        <w:keepLines w:val="0"/>
        <w:pageBreakBefore w:val="0"/>
        <w:widowControl w:val="0"/>
        <w:kinsoku/>
        <w:overflowPunct/>
        <w:topLinePunct w:val="0"/>
        <w:bidi w:val="0"/>
        <w:spacing w:line="360" w:lineRule="auto"/>
        <w:ind w:firstLine="735" w:firstLineChars="350"/>
        <w:textAlignment w:val="auto"/>
        <w:rPr>
          <w:color w:val="auto"/>
          <w:highlight w:val="none"/>
        </w:rPr>
      </w:pPr>
      <w:r>
        <w:rPr>
          <w:rFonts w:hint="eastAsia"/>
          <w:color w:val="auto"/>
          <w:highlight w:val="none"/>
        </w:rPr>
        <w:t>递交：</w:t>
      </w:r>
      <w:r>
        <w:rPr>
          <w:color w:val="auto"/>
          <w:highlight w:val="none"/>
        </w:rPr>
        <w:t>四川天府银行</w:t>
      </w:r>
    </w:p>
    <w:p>
      <w:pPr>
        <w:keepNext w:val="0"/>
        <w:keepLines w:val="0"/>
        <w:pageBreakBefore w:val="0"/>
        <w:widowControl w:val="0"/>
        <w:kinsoku/>
        <w:overflowPunct/>
        <w:topLinePunct w:val="0"/>
        <w:bidi w:val="0"/>
        <w:spacing w:line="360" w:lineRule="auto"/>
        <w:ind w:firstLine="735" w:firstLineChars="350"/>
        <w:textAlignment w:val="auto"/>
        <w:rPr>
          <w:rFonts w:hint="eastAsia" w:ascii="Arial" w:hAnsi="Arial" w:eastAsia="宋体" w:cs="Times New Roman"/>
          <w:b/>
          <w:color w:val="auto"/>
          <w:highlight w:val="none"/>
          <w:u w:val="single"/>
          <w:lang w:eastAsia="zh-CN"/>
        </w:rPr>
      </w:pPr>
      <w:r>
        <w:rPr>
          <w:rFonts w:hint="eastAsia"/>
          <w:color w:val="auto"/>
          <w:highlight w:val="none"/>
        </w:rPr>
        <w:t>投标项目：</w:t>
      </w:r>
      <w:r>
        <w:rPr>
          <w:rFonts w:hint="eastAsia" w:ascii="Arial" w:hAnsi="Arial"/>
          <w:b/>
          <w:color w:val="auto"/>
          <w:highlight w:val="none"/>
          <w:u w:val="single"/>
          <w:lang w:eastAsia="zh-CN"/>
        </w:rPr>
        <w:t>四川天府银行品牌宣传与新媒体运营</w:t>
      </w:r>
      <w:r>
        <w:rPr>
          <w:rFonts w:hint="eastAsia" w:ascii="Arial" w:hAnsi="Arial"/>
          <w:b/>
          <w:color w:val="auto"/>
          <w:highlight w:val="none"/>
          <w:u w:val="single"/>
          <w:lang w:val="en-US" w:eastAsia="zh-CN"/>
        </w:rPr>
        <w:t>服务</w:t>
      </w:r>
      <w:r>
        <w:rPr>
          <w:rFonts w:hint="eastAsia" w:ascii="Arial" w:hAnsi="Arial"/>
          <w:b/>
          <w:color w:val="auto"/>
          <w:highlight w:val="none"/>
          <w:u w:val="single"/>
          <w:lang w:eastAsia="zh-CN"/>
        </w:rPr>
        <w:t>项目</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 xml:space="preserve">封套上均应写明投标人全称、地址、联系人和联系电话。 </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将下列内容（从投标文件正本中复印）单独密封入信封，再将其封装于投标文件正本封套内：</w:t>
      </w:r>
    </w:p>
    <w:p>
      <w:pPr>
        <w:keepNext w:val="0"/>
        <w:keepLines w:val="0"/>
        <w:pageBreakBefore w:val="0"/>
        <w:widowControl w:val="0"/>
        <w:numPr>
          <w:ilvl w:val="0"/>
          <w:numId w:val="5"/>
        </w:numPr>
        <w:kinsoku/>
        <w:overflowPunct/>
        <w:topLinePunct w:val="0"/>
        <w:bidi w:val="0"/>
        <w:spacing w:line="360" w:lineRule="auto"/>
        <w:textAlignment w:val="auto"/>
        <w:rPr>
          <w:color w:val="auto"/>
          <w:highlight w:val="none"/>
        </w:rPr>
      </w:pPr>
      <w:r>
        <w:rPr>
          <w:rFonts w:hint="eastAsia"/>
          <w:color w:val="auto"/>
          <w:highlight w:val="none"/>
        </w:rPr>
        <w:t>投标函；</w:t>
      </w:r>
    </w:p>
    <w:p>
      <w:pPr>
        <w:keepNext w:val="0"/>
        <w:keepLines w:val="0"/>
        <w:pageBreakBefore w:val="0"/>
        <w:widowControl w:val="0"/>
        <w:numPr>
          <w:ilvl w:val="0"/>
          <w:numId w:val="5"/>
        </w:numPr>
        <w:kinsoku/>
        <w:overflowPunct/>
        <w:topLinePunct w:val="0"/>
        <w:bidi w:val="0"/>
        <w:spacing w:line="360" w:lineRule="auto"/>
        <w:textAlignment w:val="auto"/>
        <w:rPr>
          <w:color w:val="auto"/>
          <w:highlight w:val="none"/>
        </w:rPr>
      </w:pPr>
      <w:r>
        <w:rPr>
          <w:rFonts w:hint="eastAsia"/>
          <w:color w:val="auto"/>
          <w:highlight w:val="none"/>
        </w:rPr>
        <w:t>投标报价表。</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投标文件附带的U盘应与投标文件正本一同封装。</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1" w:name="_Toc55544824"/>
      <w:r>
        <w:rPr>
          <w:rFonts w:hint="eastAsia"/>
          <w:color w:val="auto"/>
          <w:highlight w:val="none"/>
        </w:rPr>
        <w:t>重要须知</w:t>
      </w:r>
      <w:bookmarkEnd w:id="31"/>
    </w:p>
    <w:p>
      <w:pPr>
        <w:pStyle w:val="4"/>
        <w:keepNext w:val="0"/>
        <w:keepLines w:val="0"/>
        <w:pageBreakBefore w:val="0"/>
        <w:widowControl w:val="0"/>
        <w:kinsoku/>
        <w:overflowPunct/>
        <w:topLinePunct w:val="0"/>
        <w:bidi w:val="0"/>
        <w:textAlignment w:val="auto"/>
        <w:rPr>
          <w:b/>
          <w:color w:val="auto"/>
          <w:highlight w:val="none"/>
        </w:rPr>
      </w:pPr>
      <w:r>
        <w:rPr>
          <w:rFonts w:hint="eastAsia"/>
          <w:color w:val="auto"/>
          <w:highlight w:val="none"/>
        </w:rPr>
        <w:t>招标人将拒绝并原封退回在本招标文件规定的投标截止时间后收到的任何投标文件。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开标后，投标人的投标文件相关文件不符合招标文件相关要求的，将被退回。</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开标后，每个投标人将有</w:t>
      </w:r>
      <w:r>
        <w:rPr>
          <w:rFonts w:hint="eastAsia"/>
          <w:b/>
          <w:i/>
          <w:color w:val="auto"/>
          <w:highlight w:val="none"/>
          <w:u w:val="single"/>
          <w:lang w:val="en-US" w:eastAsia="zh-CN"/>
        </w:rPr>
        <w:t>20</w:t>
      </w:r>
      <w:r>
        <w:rPr>
          <w:rFonts w:hint="eastAsia"/>
          <w:b/>
          <w:i/>
          <w:color w:val="auto"/>
          <w:highlight w:val="none"/>
          <w:u w:val="single"/>
        </w:rPr>
        <w:t>分钟的讲标时间</w:t>
      </w:r>
      <w:r>
        <w:rPr>
          <w:rFonts w:hint="eastAsia"/>
          <w:color w:val="auto"/>
          <w:highlight w:val="none"/>
        </w:rPr>
        <w:t>，讲标内容不得超出投标文件的内容范围。</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讲标结束后，评标过程将在全封闭地点进行；在此期间，投标人非经评审委员会要求对投标文件含义不明确的内容进行必要的澄清或说明，不得单独联系评审委员会的任何人员。</w:t>
      </w:r>
    </w:p>
    <w:p>
      <w:pPr>
        <w:pStyle w:val="2"/>
        <w:keepNext w:val="0"/>
        <w:keepLines w:val="0"/>
        <w:pageBreakBefore w:val="0"/>
        <w:widowControl w:val="0"/>
        <w:kinsoku/>
        <w:overflowPunct/>
        <w:topLinePunct w:val="0"/>
        <w:bidi w:val="0"/>
        <w:textAlignment w:val="auto"/>
        <w:rPr>
          <w:color w:val="auto"/>
          <w:highlight w:val="none"/>
        </w:rPr>
      </w:pPr>
      <w:bookmarkStart w:id="32" w:name="_Toc55544825"/>
      <w:bookmarkStart w:id="33" w:name="_Toc23335"/>
      <w:r>
        <w:rPr>
          <w:rFonts w:hint="eastAsia"/>
          <w:color w:val="auto"/>
          <w:highlight w:val="none"/>
        </w:rPr>
        <w:t>知识产权</w:t>
      </w:r>
      <w:bookmarkEnd w:id="32"/>
      <w:bookmarkEnd w:id="33"/>
    </w:p>
    <w:p>
      <w:pPr>
        <w:pStyle w:val="4"/>
        <w:keepNext w:val="0"/>
        <w:keepLines w:val="0"/>
        <w:pageBreakBefore w:val="0"/>
        <w:widowControl w:val="0"/>
        <w:kinsoku/>
        <w:overflowPunct/>
        <w:topLinePunct w:val="0"/>
        <w:bidi w:val="0"/>
        <w:textAlignment w:val="auto"/>
        <w:rPr>
          <w:color w:val="auto"/>
          <w:highlight w:val="none"/>
        </w:rPr>
      </w:pPr>
      <w:r>
        <w:rPr>
          <w:rFonts w:hint="eastAsia" w:hAnsi="宋体"/>
          <w:color w:val="auto"/>
          <w:highlight w:val="none"/>
        </w:rPr>
        <w:t>投标人</w:t>
      </w:r>
      <w:r>
        <w:rPr>
          <w:rFonts w:hint="eastAsia"/>
          <w:color w:val="auto"/>
          <w:highlight w:val="none"/>
        </w:rPr>
        <w:t>应保证</w:t>
      </w:r>
      <w:r>
        <w:rPr>
          <w:rFonts w:hint="eastAsia"/>
          <w:color w:val="auto"/>
          <w:spacing w:val="-2"/>
          <w:highlight w:val="none"/>
        </w:rPr>
        <w:t>，投标人</w:t>
      </w:r>
      <w:r>
        <w:rPr>
          <w:rFonts w:hint="eastAsia"/>
          <w:color w:val="auto"/>
          <w:highlight w:val="none"/>
        </w:rPr>
        <w:t>是本项目</w:t>
      </w:r>
      <w:r>
        <w:rPr>
          <w:color w:val="auto"/>
          <w:highlight w:val="none"/>
        </w:rPr>
        <w:t>提供的任何产品（含软件）、技术和服务的知识产权的合法所有人，或已经从其</w:t>
      </w:r>
      <w:r>
        <w:rPr>
          <w:rFonts w:hint="eastAsia"/>
          <w:color w:val="auto"/>
          <w:highlight w:val="none"/>
        </w:rPr>
        <w:t>合法</w:t>
      </w:r>
      <w:r>
        <w:rPr>
          <w:color w:val="auto"/>
          <w:highlight w:val="none"/>
        </w:rPr>
        <w:t>所有人得到了</w:t>
      </w:r>
      <w:r>
        <w:rPr>
          <w:rFonts w:hint="eastAsia"/>
          <w:color w:val="auto"/>
          <w:highlight w:val="none"/>
        </w:rPr>
        <w:t>合法、</w:t>
      </w:r>
      <w:r>
        <w:rPr>
          <w:color w:val="auto"/>
          <w:highlight w:val="none"/>
        </w:rPr>
        <w:t>适当的授权，并保证其产品</w:t>
      </w:r>
      <w:r>
        <w:rPr>
          <w:rFonts w:hint="eastAsia"/>
          <w:color w:val="auto"/>
          <w:highlight w:val="none"/>
        </w:rPr>
        <w:t>、技术</w:t>
      </w:r>
      <w:r>
        <w:rPr>
          <w:color w:val="auto"/>
          <w:highlight w:val="none"/>
        </w:rPr>
        <w:t>和服务均不侵犯任何第三人的版权、专利</w:t>
      </w:r>
      <w:r>
        <w:rPr>
          <w:rFonts w:hint="eastAsia"/>
          <w:color w:val="auto"/>
          <w:highlight w:val="none"/>
        </w:rPr>
        <w:t>权</w:t>
      </w:r>
      <w:r>
        <w:rPr>
          <w:color w:val="auto"/>
          <w:highlight w:val="none"/>
        </w:rPr>
        <w:t>、商标</w:t>
      </w:r>
      <w:r>
        <w:rPr>
          <w:rFonts w:hint="eastAsia"/>
          <w:color w:val="auto"/>
          <w:highlight w:val="none"/>
        </w:rPr>
        <w:t>权</w:t>
      </w:r>
      <w:r>
        <w:rPr>
          <w:color w:val="auto"/>
          <w:highlight w:val="none"/>
        </w:rPr>
        <w:t>或其他形式的知识产权，亦不侵犯任何第三人的商业秘密或其他权利。</w:t>
      </w:r>
      <w:r>
        <w:rPr>
          <w:rFonts w:hint="eastAsia"/>
          <w:color w:val="auto"/>
          <w:highlight w:val="none"/>
        </w:rPr>
        <w:t>招标人有权因为</w:t>
      </w:r>
      <w:r>
        <w:rPr>
          <w:rFonts w:hint="eastAsia" w:hAnsi="宋体"/>
          <w:color w:val="auto"/>
          <w:highlight w:val="none"/>
        </w:rPr>
        <w:t>投标人</w:t>
      </w:r>
      <w:r>
        <w:rPr>
          <w:color w:val="auto"/>
          <w:highlight w:val="none"/>
        </w:rPr>
        <w:t>提供虚假、错误</w:t>
      </w:r>
      <w:r>
        <w:rPr>
          <w:rFonts w:hint="eastAsia"/>
          <w:color w:val="auto"/>
          <w:highlight w:val="none"/>
        </w:rPr>
        <w:t>或</w:t>
      </w:r>
      <w:r>
        <w:rPr>
          <w:color w:val="auto"/>
          <w:highlight w:val="none"/>
        </w:rPr>
        <w:t>误导性信息</w:t>
      </w:r>
      <w:r>
        <w:rPr>
          <w:rFonts w:hint="eastAsia"/>
          <w:color w:val="auto"/>
          <w:highlight w:val="none"/>
        </w:rPr>
        <w:t>而</w:t>
      </w:r>
      <w:r>
        <w:rPr>
          <w:color w:val="auto"/>
          <w:highlight w:val="none"/>
        </w:rPr>
        <w:t>拒绝其参</w:t>
      </w:r>
      <w:r>
        <w:rPr>
          <w:rFonts w:hint="eastAsia"/>
          <w:color w:val="auto"/>
          <w:highlight w:val="none"/>
        </w:rPr>
        <w:t>加投标，并保留</w:t>
      </w:r>
      <w:r>
        <w:rPr>
          <w:color w:val="auto"/>
          <w:highlight w:val="none"/>
        </w:rPr>
        <w:t>依照所适用法律可能享有的进一步追诉的所有权利。</w:t>
      </w:r>
    </w:p>
    <w:p>
      <w:pPr>
        <w:pStyle w:val="4"/>
        <w:keepNext w:val="0"/>
        <w:keepLines w:val="0"/>
        <w:pageBreakBefore w:val="0"/>
        <w:widowControl w:val="0"/>
        <w:kinsoku/>
        <w:overflowPunct/>
        <w:topLinePunct w:val="0"/>
        <w:bidi w:val="0"/>
        <w:textAlignment w:val="auto"/>
        <w:rPr>
          <w:color w:val="auto"/>
          <w:spacing w:val="-2"/>
          <w:highlight w:val="none"/>
        </w:rPr>
      </w:pPr>
      <w:r>
        <w:rPr>
          <w:rFonts w:hint="eastAsia"/>
          <w:color w:val="auto"/>
          <w:spacing w:val="-2"/>
          <w:highlight w:val="none"/>
        </w:rPr>
        <w:t>投标人应保证，招标人在中华人民共和国使用产品或产品的任何一部分时，</w:t>
      </w:r>
      <w:r>
        <w:rPr>
          <w:rFonts w:hint="eastAsia"/>
          <w:color w:val="auto"/>
          <w:highlight w:val="none"/>
        </w:rPr>
        <w:t>如</w:t>
      </w:r>
      <w:r>
        <w:rPr>
          <w:color w:val="auto"/>
          <w:highlight w:val="none"/>
        </w:rPr>
        <w:t>因使用</w:t>
      </w:r>
      <w:r>
        <w:rPr>
          <w:rFonts w:hint="eastAsia" w:hAnsi="宋体"/>
          <w:color w:val="auto"/>
          <w:highlight w:val="none"/>
        </w:rPr>
        <w:t>投标人</w:t>
      </w:r>
      <w:r>
        <w:rPr>
          <w:rFonts w:hint="eastAsia"/>
          <w:color w:val="auto"/>
          <w:highlight w:val="none"/>
        </w:rPr>
        <w:t>提供的产品或服务而</w:t>
      </w:r>
      <w:r>
        <w:rPr>
          <w:color w:val="auto"/>
          <w:highlight w:val="none"/>
        </w:rPr>
        <w:t>受到第三方关于侵犯</w:t>
      </w:r>
      <w:r>
        <w:rPr>
          <w:rFonts w:hint="eastAsia"/>
          <w:color w:val="auto"/>
          <w:highlight w:val="none"/>
        </w:rPr>
        <w:t>版权、</w:t>
      </w:r>
      <w:r>
        <w:rPr>
          <w:color w:val="auto"/>
          <w:highlight w:val="none"/>
        </w:rPr>
        <w:t>专利权、商标权</w:t>
      </w:r>
      <w:r>
        <w:rPr>
          <w:rFonts w:hint="eastAsia"/>
          <w:color w:val="auto"/>
          <w:highlight w:val="none"/>
        </w:rPr>
        <w:t>或其他形式的知识产权</w:t>
      </w:r>
      <w:r>
        <w:rPr>
          <w:color w:val="auto"/>
          <w:highlight w:val="none"/>
        </w:rPr>
        <w:t>的</w:t>
      </w:r>
      <w:r>
        <w:rPr>
          <w:rFonts w:hint="eastAsia"/>
          <w:color w:val="auto"/>
          <w:highlight w:val="none"/>
        </w:rPr>
        <w:t>指控</w:t>
      </w:r>
      <w:r>
        <w:rPr>
          <w:color w:val="auto"/>
          <w:highlight w:val="none"/>
        </w:rPr>
        <w:t>或</w:t>
      </w:r>
      <w:r>
        <w:rPr>
          <w:rFonts w:hint="eastAsia"/>
          <w:color w:val="auto"/>
          <w:highlight w:val="none"/>
          <w:lang w:eastAsia="zh-CN"/>
        </w:rPr>
        <w:t>其他</w:t>
      </w:r>
      <w:r>
        <w:rPr>
          <w:color w:val="auto"/>
          <w:highlight w:val="none"/>
        </w:rPr>
        <w:t>指控，投标人须与该第三方交涉</w:t>
      </w:r>
      <w:r>
        <w:rPr>
          <w:rFonts w:hint="eastAsia"/>
          <w:color w:val="auto"/>
          <w:highlight w:val="none"/>
        </w:rPr>
        <w:t>，采取措施使</w:t>
      </w:r>
      <w:r>
        <w:rPr>
          <w:rFonts w:hint="eastAsia" w:ascii="Arial" w:hAnsi="Arial"/>
          <w:color w:val="auto"/>
          <w:highlight w:val="none"/>
        </w:rPr>
        <w:t>招标人</w:t>
      </w:r>
      <w:r>
        <w:rPr>
          <w:rFonts w:ascii="Arial" w:hAnsi="Arial"/>
          <w:color w:val="auto"/>
          <w:highlight w:val="none"/>
        </w:rPr>
        <w:t>免受第三方提出侵犯其专利权或</w:t>
      </w:r>
      <w:r>
        <w:rPr>
          <w:rFonts w:hint="eastAsia" w:ascii="Arial" w:hAnsi="Arial"/>
          <w:color w:val="auto"/>
          <w:highlight w:val="none"/>
          <w:lang w:eastAsia="zh-CN"/>
        </w:rPr>
        <w:t>其他</w:t>
      </w:r>
      <w:r>
        <w:rPr>
          <w:rFonts w:ascii="Arial" w:hAnsi="Arial"/>
          <w:color w:val="auto"/>
          <w:highlight w:val="none"/>
        </w:rPr>
        <w:t>知识产权的起诉</w:t>
      </w:r>
      <w:r>
        <w:rPr>
          <w:rFonts w:hint="eastAsia" w:ascii="Arial" w:hAnsi="Arial"/>
          <w:color w:val="auto"/>
          <w:highlight w:val="none"/>
        </w:rPr>
        <w:t>，</w:t>
      </w:r>
      <w:r>
        <w:rPr>
          <w:color w:val="auto"/>
          <w:highlight w:val="none"/>
        </w:rPr>
        <w:t>并</w:t>
      </w:r>
      <w:r>
        <w:rPr>
          <w:rFonts w:hint="eastAsia"/>
          <w:color w:val="auto"/>
          <w:highlight w:val="none"/>
        </w:rPr>
        <w:t>对招标人</w:t>
      </w:r>
      <w:r>
        <w:rPr>
          <w:color w:val="auto"/>
          <w:highlight w:val="none"/>
        </w:rPr>
        <w:t>承担</w:t>
      </w:r>
      <w:r>
        <w:rPr>
          <w:rFonts w:hint="eastAsia"/>
          <w:color w:val="auto"/>
          <w:highlight w:val="none"/>
        </w:rPr>
        <w:t>相应的赔偿责任</w:t>
      </w:r>
      <w:r>
        <w:rPr>
          <w:rFonts w:hint="eastAsia"/>
          <w:color w:val="auto"/>
          <w:spacing w:val="-2"/>
          <w:highlight w:val="none"/>
        </w:rPr>
        <w:t>。</w:t>
      </w:r>
    </w:p>
    <w:p>
      <w:pPr>
        <w:pStyle w:val="2"/>
        <w:keepNext w:val="0"/>
        <w:keepLines w:val="0"/>
        <w:pageBreakBefore w:val="0"/>
        <w:widowControl w:val="0"/>
        <w:kinsoku/>
        <w:overflowPunct/>
        <w:topLinePunct w:val="0"/>
        <w:bidi w:val="0"/>
        <w:textAlignment w:val="auto"/>
        <w:rPr>
          <w:color w:val="auto"/>
          <w:highlight w:val="none"/>
        </w:rPr>
      </w:pPr>
      <w:bookmarkStart w:id="34" w:name="_Toc55544826"/>
      <w:bookmarkStart w:id="35" w:name="_Toc14987"/>
      <w:r>
        <w:rPr>
          <w:rFonts w:hint="eastAsia"/>
          <w:color w:val="auto"/>
          <w:highlight w:val="none"/>
        </w:rPr>
        <w:t>投标文件评审</w:t>
      </w:r>
      <w:bookmarkEnd w:id="34"/>
      <w:bookmarkEnd w:id="35"/>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6" w:name="_Toc55544827"/>
      <w:r>
        <w:rPr>
          <w:rFonts w:hint="eastAsia"/>
          <w:color w:val="auto"/>
          <w:highlight w:val="none"/>
        </w:rPr>
        <w:t>评标</w:t>
      </w:r>
      <w:bookmarkEnd w:id="36"/>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评标委员会：招标人将依照《中华人民共和国招标投标法》、国家计委等七部委制定的《评标委员会和评标方法暂行规定》、《</w:t>
      </w:r>
      <w:r>
        <w:rPr>
          <w:color w:val="auto"/>
          <w:highlight w:val="none"/>
        </w:rPr>
        <w:t>四川天府银行</w:t>
      </w:r>
      <w:r>
        <w:rPr>
          <w:rFonts w:hint="eastAsia"/>
          <w:color w:val="auto"/>
          <w:highlight w:val="none"/>
        </w:rPr>
        <w:t>招标采购管理办法》等法律法规的有关规定组建评标委员会，评标委员会成员由招标人在开标前临时确定。</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评标原则：评标委员会按照有关法律、法规规定和招标文件要求，遵循公平、公正、科学、择优的原则，采用相同的程序和标准，不受外界任何因素干扰和影响独立对投标文件进行评审。</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评标主要内容：对投标文件的初审、质疑、综合评审、择优定标。</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7" w:name="_Toc55544828"/>
      <w:r>
        <w:rPr>
          <w:rFonts w:hint="eastAsia"/>
          <w:color w:val="auto"/>
          <w:highlight w:val="none"/>
        </w:rPr>
        <w:t>中标条件</w:t>
      </w:r>
      <w:bookmarkEnd w:id="37"/>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能最大限度满足招标文件要求；</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投标报价合理；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具有综合竞争优势。</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8" w:name="_Toc55544829"/>
      <w:r>
        <w:rPr>
          <w:rFonts w:hint="eastAsia"/>
          <w:color w:val="auto"/>
          <w:highlight w:val="none"/>
        </w:rPr>
        <w:t>其他事项</w:t>
      </w:r>
      <w:bookmarkEnd w:id="38"/>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在投标、评标过程中，如有投标人联合故意抬高报价或其他不正当行为，招标方有权中止投标或评标。</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对本次采购的产品的投标要具有真实性，提供的招标书中的资质证书要真实可查，凡是作假查实后取消投标资格；</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投标人按必须满足招标指标，关键指标不满足做否决</w:t>
      </w:r>
      <w:r>
        <w:rPr>
          <w:color w:val="auto"/>
          <w:highlight w:val="none"/>
        </w:rPr>
        <w:t>投标</w:t>
      </w:r>
      <w:r>
        <w:rPr>
          <w:rFonts w:hint="eastAsia"/>
          <w:color w:val="auto"/>
          <w:highlight w:val="none"/>
        </w:rPr>
        <w:t>处理；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投标书所列</w:t>
      </w:r>
      <w:r>
        <w:rPr>
          <w:rFonts w:hint="eastAsia"/>
          <w:color w:val="auto"/>
          <w:highlight w:val="none"/>
          <w:lang w:eastAsia="zh-CN"/>
        </w:rPr>
        <w:t>服务</w:t>
      </w:r>
      <w:r>
        <w:rPr>
          <w:rFonts w:hint="eastAsia"/>
          <w:color w:val="auto"/>
          <w:highlight w:val="none"/>
        </w:rPr>
        <w:t>及报价要清楚准确；</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投标人不得采取虚假投标方式骗标、围标，一经发现取消投标人资格，直接列入投标公司黑名单；</w:t>
      </w:r>
    </w:p>
    <w:p>
      <w:pPr>
        <w:pStyle w:val="2"/>
        <w:keepNext w:val="0"/>
        <w:keepLines w:val="0"/>
        <w:pageBreakBefore w:val="0"/>
        <w:widowControl w:val="0"/>
        <w:kinsoku/>
        <w:overflowPunct/>
        <w:topLinePunct w:val="0"/>
        <w:bidi w:val="0"/>
        <w:textAlignment w:val="auto"/>
        <w:rPr>
          <w:color w:val="auto"/>
          <w:highlight w:val="none"/>
        </w:rPr>
      </w:pPr>
      <w:bookmarkStart w:id="39" w:name="_Toc55544830"/>
      <w:bookmarkStart w:id="40" w:name="_Toc10169"/>
      <w:r>
        <w:rPr>
          <w:rFonts w:hint="eastAsia"/>
          <w:color w:val="auto"/>
          <w:highlight w:val="none"/>
        </w:rPr>
        <w:t>授予合同</w:t>
      </w:r>
      <w:bookmarkEnd w:id="39"/>
      <w:bookmarkEnd w:id="40"/>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41" w:name="_Toc55544831"/>
      <w:r>
        <w:rPr>
          <w:rFonts w:hint="eastAsia"/>
          <w:color w:val="auto"/>
          <w:highlight w:val="none"/>
        </w:rPr>
        <w:t>中标通知</w:t>
      </w:r>
      <w:bookmarkEnd w:id="41"/>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评标委员会确定中标厂商后，由招标人签发《中标通知书》。</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对未中标的投标人，招标人不解释落标原因，投标文件不予退还。</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42" w:name="_Toc55544832"/>
      <w:r>
        <w:rPr>
          <w:rFonts w:hint="eastAsia"/>
          <w:color w:val="auto"/>
          <w:highlight w:val="none"/>
        </w:rPr>
        <w:t>招标人在授标时的权利</w:t>
      </w:r>
      <w:bookmarkEnd w:id="42"/>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为维护国家利益，招标人在授予合同之前仍有选择或拒绝任何或全部标的物的权力，对因此而受影响的投标人不承担任何责任，也没有义务向受影响的投标人解释采取这一行动的理由。</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若投标人数达不到法定要求或评标委员会否决所有投标，招标人有权选择其他采购方式。</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43" w:name="_Toc55544833"/>
      <w:r>
        <w:rPr>
          <w:rFonts w:hint="eastAsia"/>
          <w:color w:val="auto"/>
          <w:highlight w:val="none"/>
        </w:rPr>
        <w:t>合同签订</w:t>
      </w:r>
      <w:bookmarkEnd w:id="43"/>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中标人应在收到中标通知书后与本行进入相关合同的讨论工作，双方达成共识后签订合同,如双方无法达成共识，招标人有权终止中标合同。</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中标通知书对招标人和中标人均具有法律效力。中标通知书发出后，中标人放弃中标项目的，或不能在30天内与招标人签订合同的，应依法承担法律责任。中标通知书发出且双方达成共识后，招标人无故改变中标结果的，依法承担法律责任。</w:t>
      </w:r>
    </w:p>
    <w:p>
      <w:pPr>
        <w:pStyle w:val="2"/>
        <w:keepNext w:val="0"/>
        <w:keepLines w:val="0"/>
        <w:pageBreakBefore w:val="0"/>
        <w:widowControl w:val="0"/>
        <w:kinsoku/>
        <w:overflowPunct/>
        <w:topLinePunct w:val="0"/>
        <w:bidi w:val="0"/>
        <w:textAlignment w:val="auto"/>
        <w:rPr>
          <w:color w:val="auto"/>
          <w:highlight w:val="none"/>
        </w:rPr>
      </w:pPr>
      <w:bookmarkStart w:id="44" w:name="_Toc30481"/>
      <w:bookmarkStart w:id="45" w:name="_Toc55544834"/>
      <w:r>
        <w:rPr>
          <w:rFonts w:hint="eastAsia"/>
          <w:color w:val="auto"/>
          <w:highlight w:val="none"/>
        </w:rPr>
        <w:t>招标文件的解释</w:t>
      </w:r>
      <w:bookmarkEnd w:id="44"/>
      <w:bookmarkEnd w:id="45"/>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rPr>
      </w:pPr>
      <w:r>
        <w:rPr>
          <w:rFonts w:hint="eastAsia"/>
          <w:color w:val="auto"/>
          <w:highlight w:val="none"/>
        </w:rPr>
        <w:t>本招标文件由招标人负责解释。</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snapToGrid w:val="0"/>
          <w:color w:val="auto"/>
          <w:sz w:val="36"/>
          <w:szCs w:val="36"/>
          <w:highlight w:val="none"/>
        </w:rPr>
      </w:pPr>
      <w:r>
        <w:rPr>
          <w:color w:val="auto"/>
          <w:highlight w:val="none"/>
        </w:rPr>
        <w:br w:type="page"/>
      </w:r>
      <w:bookmarkStart w:id="46" w:name="_Toc55544835"/>
    </w:p>
    <w:p>
      <w:pPr>
        <w:pStyle w:val="13"/>
        <w:keepNext w:val="0"/>
        <w:keepLines w:val="0"/>
        <w:pageBreakBefore w:val="0"/>
        <w:widowControl w:val="0"/>
        <w:kinsoku/>
        <w:overflowPunct/>
        <w:topLinePunct w:val="0"/>
        <w:bidi w:val="0"/>
        <w:textAlignment w:val="auto"/>
        <w:outlineLvl w:val="9"/>
        <w:rPr>
          <w:rFonts w:hint="eastAsia"/>
          <w:snapToGrid w:val="0"/>
          <w:color w:val="auto"/>
          <w:sz w:val="36"/>
          <w:szCs w:val="36"/>
          <w:highlight w:val="none"/>
        </w:rPr>
      </w:pPr>
    </w:p>
    <w:p>
      <w:pPr>
        <w:pStyle w:val="13"/>
        <w:keepNext w:val="0"/>
        <w:keepLines w:val="0"/>
        <w:pageBreakBefore w:val="0"/>
        <w:widowControl w:val="0"/>
        <w:kinsoku/>
        <w:overflowPunct/>
        <w:topLinePunct w:val="0"/>
        <w:bidi w:val="0"/>
        <w:textAlignment w:val="auto"/>
        <w:rPr>
          <w:snapToGrid w:val="0"/>
          <w:color w:val="auto"/>
          <w:sz w:val="36"/>
          <w:szCs w:val="36"/>
          <w:highlight w:val="none"/>
        </w:rPr>
      </w:pPr>
      <w:bookmarkStart w:id="47" w:name="_Toc22926"/>
      <w:r>
        <w:rPr>
          <w:rFonts w:hint="eastAsia"/>
          <w:snapToGrid w:val="0"/>
          <w:color w:val="auto"/>
          <w:sz w:val="36"/>
          <w:szCs w:val="36"/>
          <w:highlight w:val="none"/>
        </w:rPr>
        <w:t>第二部分：</w:t>
      </w:r>
      <w:r>
        <w:rPr>
          <w:rFonts w:hint="eastAsia"/>
          <w:snapToGrid w:val="0"/>
          <w:color w:val="auto"/>
          <w:sz w:val="36"/>
          <w:szCs w:val="36"/>
          <w:highlight w:val="none"/>
          <w:lang w:eastAsia="zh-CN"/>
        </w:rPr>
        <w:t>服务</w:t>
      </w:r>
      <w:r>
        <w:rPr>
          <w:rFonts w:hint="eastAsia"/>
          <w:snapToGrid w:val="0"/>
          <w:color w:val="auto"/>
          <w:sz w:val="36"/>
          <w:szCs w:val="36"/>
          <w:highlight w:val="none"/>
        </w:rPr>
        <w:t>内容和要求</w:t>
      </w:r>
      <w:bookmarkEnd w:id="46"/>
      <w:bookmarkEnd w:id="47"/>
    </w:p>
    <w:p>
      <w:pPr>
        <w:pStyle w:val="2"/>
        <w:keepNext w:val="0"/>
        <w:keepLines w:val="0"/>
        <w:pageBreakBefore w:val="0"/>
        <w:widowControl w:val="0"/>
        <w:kinsoku/>
        <w:overflowPunct/>
        <w:topLinePunct w:val="0"/>
        <w:bidi w:val="0"/>
        <w:textAlignment w:val="auto"/>
        <w:rPr>
          <w:color w:val="auto"/>
          <w:highlight w:val="none"/>
        </w:rPr>
      </w:pPr>
      <w:bookmarkStart w:id="48" w:name="_Toc55544836"/>
      <w:bookmarkStart w:id="49" w:name="_Toc16632"/>
      <w:r>
        <w:rPr>
          <w:rFonts w:hint="eastAsia"/>
          <w:color w:val="auto"/>
          <w:highlight w:val="none"/>
          <w:lang w:eastAsia="zh-CN"/>
        </w:rPr>
        <w:t>基本服务</w:t>
      </w:r>
      <w:r>
        <w:rPr>
          <w:rFonts w:hint="eastAsia"/>
          <w:color w:val="auto"/>
          <w:highlight w:val="none"/>
        </w:rPr>
        <w:t>要求</w:t>
      </w:r>
      <w:bookmarkEnd w:id="48"/>
      <w:bookmarkEnd w:id="49"/>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rPr>
      </w:pPr>
      <w:r>
        <w:rPr>
          <w:rFonts w:hint="eastAsia"/>
          <w:color w:val="auto"/>
          <w:highlight w:val="none"/>
        </w:rPr>
        <w:t>若本标书中的项目内容或要求中出现不合理或不完整问题时，投标人有责任和义务在投标文件当中提出补充修改方案。</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投标人必须根据项目内容要求列出详细</w:t>
      </w:r>
      <w:r>
        <w:rPr>
          <w:rFonts w:hint="eastAsia"/>
          <w:color w:val="auto"/>
          <w:highlight w:val="none"/>
          <w:lang w:val="en-US" w:eastAsia="zh-CN"/>
        </w:rPr>
        <w:t>的品牌宣传与新媒体运营服务项目</w:t>
      </w:r>
      <w:r>
        <w:rPr>
          <w:rFonts w:hint="eastAsia"/>
          <w:color w:val="auto"/>
          <w:highlight w:val="none"/>
        </w:rPr>
        <w:t>内容清单</w:t>
      </w:r>
      <w:r>
        <w:rPr>
          <w:rFonts w:hint="eastAsia"/>
          <w:color w:val="auto"/>
          <w:highlight w:val="none"/>
          <w:lang w:val="en-US" w:eastAsia="zh-CN"/>
        </w:rPr>
        <w:t>及报价</w:t>
      </w:r>
      <w:r>
        <w:rPr>
          <w:rFonts w:hint="eastAsia"/>
          <w:color w:val="auto"/>
          <w:highlight w:val="none"/>
        </w:rPr>
        <w:t>，并确保能满足全部项目需求。</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投标人应与我行签订保密协议，严格遵守法律法规，对</w:t>
      </w:r>
      <w:r>
        <w:rPr>
          <w:rFonts w:hint="eastAsia"/>
          <w:color w:val="auto"/>
          <w:highlight w:val="none"/>
          <w:lang w:val="en-US" w:eastAsia="zh-CN"/>
        </w:rPr>
        <w:t>舆情信息监测、咨询、应对处置</w:t>
      </w:r>
      <w:r>
        <w:rPr>
          <w:rFonts w:hint="eastAsia"/>
          <w:color w:val="auto"/>
          <w:highlight w:val="none"/>
        </w:rPr>
        <w:t>等服务工作中的所</w:t>
      </w:r>
      <w:r>
        <w:rPr>
          <w:rFonts w:hint="eastAsia"/>
          <w:color w:val="auto"/>
          <w:highlight w:val="none"/>
          <w:lang w:val="en-US" w:eastAsia="zh-CN"/>
        </w:rPr>
        <w:t>知悉</w:t>
      </w:r>
      <w:r>
        <w:rPr>
          <w:rFonts w:hint="eastAsia"/>
          <w:color w:val="auto"/>
          <w:highlight w:val="none"/>
        </w:rPr>
        <w:t>的</w:t>
      </w:r>
      <w:r>
        <w:rPr>
          <w:rFonts w:hint="eastAsia"/>
          <w:color w:val="auto"/>
          <w:highlight w:val="none"/>
          <w:lang w:val="en-US" w:eastAsia="zh-CN"/>
        </w:rPr>
        <w:t>信息</w:t>
      </w:r>
      <w:r>
        <w:rPr>
          <w:rFonts w:hint="eastAsia"/>
          <w:color w:val="auto"/>
          <w:highlight w:val="none"/>
        </w:rPr>
        <w:t>严格保密，未经授权不得泄露给任何单位和个人。</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提供项目相关的具有合法使用权的工具软件和信息资源数据，并保证所使用的所有工具和软件不具有所有权和知识产权纠纷及工具和软件可用性和可靠性。</w:t>
      </w:r>
    </w:p>
    <w:p>
      <w:pPr>
        <w:pStyle w:val="2"/>
        <w:keepNext w:val="0"/>
        <w:keepLines w:val="0"/>
        <w:pageBreakBefore w:val="0"/>
        <w:widowControl w:val="0"/>
        <w:kinsoku/>
        <w:overflowPunct/>
        <w:topLinePunct w:val="0"/>
        <w:bidi w:val="0"/>
        <w:textAlignment w:val="auto"/>
        <w:rPr>
          <w:rFonts w:hint="eastAsia"/>
          <w:color w:val="auto"/>
          <w:highlight w:val="none"/>
        </w:rPr>
      </w:pPr>
      <w:bookmarkStart w:id="50" w:name="_Toc291258512"/>
      <w:bookmarkStart w:id="51" w:name="_Toc339894985"/>
      <w:bookmarkStart w:id="52" w:name="_Toc55544837"/>
      <w:bookmarkStart w:id="53" w:name="_Toc7369"/>
      <w:r>
        <w:rPr>
          <w:rFonts w:hint="eastAsia"/>
          <w:color w:val="auto"/>
          <w:highlight w:val="none"/>
        </w:rPr>
        <w:t>服务内容和要求</w:t>
      </w:r>
      <w:bookmarkEnd w:id="50"/>
      <w:bookmarkEnd w:id="51"/>
      <w:bookmarkEnd w:id="52"/>
      <w:bookmarkEnd w:id="53"/>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品牌规划从我行的企业文化、价值观以及核心竞争力出发，制度年度品牌传播策略与品宣工作规划，保证银行品宣工作连续性与专业性。策划各类线上活动，不断提升公众认知度和区域影响力，打造银行特色品牌。实时掌握并品牌运营状况，确保品牌战略持续有效。</w:t>
      </w:r>
    </w:p>
    <w:p>
      <w:pPr>
        <w:keepNext w:val="0"/>
        <w:keepLines w:val="0"/>
        <w:pageBreakBefore w:val="0"/>
        <w:widowControl w:val="0"/>
        <w:numPr>
          <w:ilvl w:val="2"/>
          <w:numId w:val="0"/>
        </w:numPr>
        <w:suppressLineNumbers w:val="0"/>
        <w:pBdr>
          <w:left w:val="none" w:color="auto" w:sz="0" w:space="0"/>
        </w:pBdr>
        <w:kinsoku/>
        <w:wordWrap/>
        <w:overflowPunct/>
        <w:topLinePunct w:val="0"/>
        <w:autoSpaceDE/>
        <w:autoSpaceDN/>
        <w:bidi w:val="0"/>
        <w:adjustRightInd/>
        <w:snapToGrid/>
        <w:spacing w:beforeAutospacing="0" w:afterAutospacing="0" w:line="58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新媒体运营通过我行各类新媒体平台账号（包括腾讯微信公众号、视频号、抖音号与微博号），开展品牌宣传、产品及服务推广、客户服务以及用户互动等，提升银行曝光率，增强用户黏性，为各项业务发展提供宣传支撑与保障。</w:t>
      </w:r>
    </w:p>
    <w:p>
      <w:pPr>
        <w:keepNext w:val="0"/>
        <w:keepLines w:val="0"/>
        <w:pageBreakBefore w:val="0"/>
        <w:widowControl w:val="0"/>
        <w:numPr>
          <w:ilvl w:val="2"/>
          <w:numId w:val="0"/>
        </w:numPr>
        <w:suppressLineNumbers w:val="0"/>
        <w:pBdr>
          <w:left w:val="none" w:color="auto" w:sz="0" w:space="0"/>
        </w:pBdr>
        <w:kinsoku/>
        <w:wordWrap/>
        <w:overflowPunct/>
        <w:topLinePunct w:val="0"/>
        <w:autoSpaceDE/>
        <w:autoSpaceDN/>
        <w:bidi w:val="0"/>
        <w:adjustRightInd/>
        <w:snapToGrid/>
        <w:spacing w:beforeAutospacing="0" w:afterAutospacing="0" w:line="580" w:lineRule="exact"/>
        <w:ind w:firstLine="422" w:firstLineChars="200"/>
        <w:jc w:val="both"/>
        <w:textAlignment w:val="auto"/>
        <w:rPr>
          <w:rFonts w:hint="eastAsia"/>
          <w:b/>
          <w:bCs/>
          <w:color w:val="auto"/>
          <w:highlight w:val="none"/>
          <w:lang w:val="en-US" w:eastAsia="zh-CN"/>
        </w:rPr>
      </w:pPr>
      <w:r>
        <w:rPr>
          <w:rFonts w:hint="eastAsia"/>
          <w:b/>
          <w:bCs/>
          <w:color w:val="auto"/>
          <w:highlight w:val="none"/>
          <w:lang w:val="en-US" w:eastAsia="zh-CN"/>
        </w:rPr>
        <w:t>10.1品牌宣传：</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10.11.按照银行发展方向与市场定位，制定年度品牌宣传策略与执行计划。</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10.1.2.配合银行各分支机构和部门开展当地好品牌运营，并提供指导与支持。</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10.1.3.负责制定银行卡通IP形象“天天府府”的运营策略规划、根据银行经营需求进行内容创作，利用银行自媒体矩阵与合作媒体创新内传播内容，与银行客户及社会公众展开互动，适时寻求跨界合作与联动，保持IP活力。</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b/>
          <w:bCs/>
          <w:color w:val="auto"/>
          <w:highlight w:val="none"/>
          <w:lang w:val="en-US" w:eastAsia="zh-CN"/>
        </w:rPr>
      </w:pPr>
      <w:r>
        <w:rPr>
          <w:rFonts w:hint="eastAsia"/>
          <w:b/>
          <w:bCs/>
          <w:color w:val="auto"/>
          <w:highlight w:val="none"/>
          <w:lang w:val="en-US" w:eastAsia="zh-CN"/>
        </w:rPr>
        <w:t>10.2新媒体运营</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10.2.1.微信公众号运营。对接总行主要业务部门和管理部门，对文字内容统一排版美化，服务号按周为单位进行统一视觉形象。</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10.2.3.微博号运营。对主要针对有关部门和监管政策、公益性内容转发，需按照微博常见格式进行设计。</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10.2.4.抖音号及视频号运营。发布银行已完成制作视频，若有视频拍摄及后期制作需求再另行商定。</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10.2.5.账号互动。运营方代表四川天府银行，要站在银行的立场参与内容互动，针对有价值评论进行回复并主动引导舆论走向，要求具备独立思考能力和较高的书面表达水平，维护好银行社会形象。</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10.2.6.根据不同媒体平台特点，制定差异化的运营策略，提升粉丝活跃度与关注度，如开展线上互动活动、话题讨论等。</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lang w:val="en-US" w:eastAsia="zh-CN"/>
        </w:rPr>
        <w:t xml:space="preserve">10.2.7.一般情况下，需要运营方驻场，在满足银行需求的情况下灵活调整驻场时间。    </w:t>
      </w:r>
    </w:p>
    <w:p>
      <w:pPr>
        <w:pStyle w:val="2"/>
        <w:keepNext w:val="0"/>
        <w:keepLines w:val="0"/>
        <w:pageBreakBefore w:val="0"/>
        <w:widowControl w:val="0"/>
        <w:kinsoku/>
        <w:overflowPunct/>
        <w:topLinePunct w:val="0"/>
        <w:bidi w:val="0"/>
        <w:textAlignment w:val="auto"/>
        <w:rPr>
          <w:color w:val="auto"/>
          <w:highlight w:val="none"/>
        </w:rPr>
      </w:pPr>
      <w:bookmarkStart w:id="54" w:name="_Toc22294"/>
      <w:bookmarkStart w:id="55" w:name="_Toc55544838"/>
      <w:bookmarkStart w:id="56" w:name="_Toc258333663"/>
      <w:r>
        <w:rPr>
          <w:rFonts w:hint="eastAsia"/>
          <w:color w:val="auto"/>
          <w:highlight w:val="none"/>
          <w:lang w:val="en-US" w:eastAsia="zh-CN"/>
        </w:rPr>
        <w:t>报价</w:t>
      </w:r>
      <w:r>
        <w:rPr>
          <w:rFonts w:hint="eastAsia"/>
          <w:color w:val="auto"/>
          <w:highlight w:val="none"/>
        </w:rPr>
        <w:t>要求</w:t>
      </w:r>
      <w:bookmarkEnd w:id="54"/>
      <w:bookmarkEnd w:id="55"/>
    </w:p>
    <w:p>
      <w:pPr>
        <w:keepNext w:val="0"/>
        <w:keepLines w:val="0"/>
        <w:pageBreakBefore w:val="0"/>
        <w:widowControl w:val="0"/>
        <w:tabs>
          <w:tab w:val="center" w:pos="4369"/>
        </w:tabs>
        <w:kinsoku/>
        <w:overflowPunct/>
        <w:topLinePunct w:val="0"/>
        <w:bidi w:val="0"/>
        <w:spacing w:line="360" w:lineRule="auto"/>
        <w:ind w:firstLine="432"/>
        <w:textAlignment w:val="auto"/>
        <w:rPr>
          <w:color w:val="auto"/>
          <w:highlight w:val="none"/>
        </w:rPr>
      </w:pPr>
      <w:r>
        <w:rPr>
          <w:rFonts w:hint="eastAsia"/>
          <w:color w:val="auto"/>
          <w:highlight w:val="none"/>
        </w:rPr>
        <w:t>投标方需提供详细的报价清单，明确各项服务内容的收费标准、计费方式（如按项目、按年度、按服务次数等）以及总价，报价应包含完成本项目所需的全部费用（含税），不得出现任何隐含费用或后期追加费用的情况。报价应合理、合规，符合市场行情和项目实际需求。</w:t>
      </w:r>
    </w:p>
    <w:bookmarkEnd w:id="56"/>
    <w:p>
      <w:pPr>
        <w:keepNext w:val="0"/>
        <w:keepLines w:val="0"/>
        <w:pageBreakBefore w:val="0"/>
        <w:widowControl w:val="0"/>
        <w:kinsoku/>
        <w:overflowPunct/>
        <w:topLinePunct w:val="0"/>
        <w:bidi w:val="0"/>
        <w:spacing w:line="360" w:lineRule="auto"/>
        <w:ind w:firstLine="422" w:firstLineChars="200"/>
        <w:textAlignment w:val="auto"/>
        <w:rPr>
          <w:b/>
          <w:color w:val="auto"/>
          <w:highlight w:val="none"/>
        </w:rPr>
      </w:pPr>
    </w:p>
    <w:p>
      <w:pPr>
        <w:pStyle w:val="13"/>
        <w:keepNext w:val="0"/>
        <w:keepLines w:val="0"/>
        <w:pageBreakBefore w:val="0"/>
        <w:widowControl w:val="0"/>
        <w:kinsoku/>
        <w:overflowPunct/>
        <w:topLinePunct w:val="0"/>
        <w:bidi w:val="0"/>
        <w:textAlignment w:val="auto"/>
        <w:outlineLvl w:val="9"/>
        <w:rPr>
          <w:snapToGrid w:val="0"/>
          <w:color w:val="auto"/>
          <w:highlight w:val="none"/>
        </w:rPr>
      </w:pPr>
      <w:r>
        <w:rPr>
          <w:snapToGrid w:val="0"/>
          <w:color w:val="auto"/>
          <w:highlight w:val="none"/>
        </w:rPr>
        <w:br w:type="page"/>
      </w:r>
      <w:bookmarkStart w:id="57" w:name="_Toc55544843"/>
    </w:p>
    <w:p>
      <w:pPr>
        <w:pStyle w:val="13"/>
        <w:keepNext w:val="0"/>
        <w:keepLines w:val="0"/>
        <w:pageBreakBefore w:val="0"/>
        <w:widowControl w:val="0"/>
        <w:kinsoku/>
        <w:overflowPunct/>
        <w:topLinePunct w:val="0"/>
        <w:bidi w:val="0"/>
        <w:textAlignment w:val="auto"/>
        <w:outlineLvl w:val="9"/>
        <w:rPr>
          <w:snapToGrid w:val="0"/>
          <w:color w:val="auto"/>
          <w:highlight w:val="none"/>
        </w:rPr>
      </w:pPr>
    </w:p>
    <w:p>
      <w:pPr>
        <w:pStyle w:val="13"/>
        <w:keepNext w:val="0"/>
        <w:keepLines w:val="0"/>
        <w:pageBreakBefore w:val="0"/>
        <w:widowControl w:val="0"/>
        <w:kinsoku/>
        <w:overflowPunct/>
        <w:topLinePunct w:val="0"/>
        <w:bidi w:val="0"/>
        <w:textAlignment w:val="auto"/>
        <w:rPr>
          <w:snapToGrid w:val="0"/>
          <w:color w:val="auto"/>
          <w:sz w:val="36"/>
          <w:szCs w:val="36"/>
          <w:highlight w:val="none"/>
        </w:rPr>
      </w:pPr>
      <w:bookmarkStart w:id="58" w:name="_Toc29474"/>
      <w:r>
        <w:rPr>
          <w:rFonts w:hint="eastAsia"/>
          <w:snapToGrid w:val="0"/>
          <w:color w:val="auto"/>
          <w:sz w:val="36"/>
          <w:szCs w:val="36"/>
          <w:highlight w:val="none"/>
        </w:rPr>
        <w:t>第三部分：投标文件格式</w:t>
      </w:r>
      <w:bookmarkEnd w:id="57"/>
      <w:bookmarkEnd w:id="58"/>
    </w:p>
    <w:p>
      <w:pPr>
        <w:pStyle w:val="2"/>
        <w:keepNext w:val="0"/>
        <w:keepLines w:val="0"/>
        <w:pageBreakBefore w:val="0"/>
        <w:widowControl w:val="0"/>
        <w:kinsoku/>
        <w:overflowPunct/>
        <w:topLinePunct w:val="0"/>
        <w:bidi w:val="0"/>
        <w:textAlignment w:val="auto"/>
        <w:rPr>
          <w:color w:val="auto"/>
          <w:highlight w:val="none"/>
        </w:rPr>
      </w:pPr>
      <w:bookmarkStart w:id="59" w:name="_Toc24982"/>
      <w:bookmarkStart w:id="60" w:name="_Toc55544844"/>
      <w:r>
        <w:rPr>
          <w:rFonts w:hint="eastAsia"/>
          <w:color w:val="auto"/>
          <w:highlight w:val="none"/>
        </w:rPr>
        <w:t>投标函格式</w:t>
      </w:r>
      <w:bookmarkEnd w:id="59"/>
      <w:bookmarkEnd w:id="60"/>
    </w:p>
    <w:p>
      <w:pPr>
        <w:keepNext w:val="0"/>
        <w:keepLines w:val="0"/>
        <w:pageBreakBefore w:val="0"/>
        <w:widowControl w:val="0"/>
        <w:kinsoku/>
        <w:overflowPunct/>
        <w:topLinePunct w:val="0"/>
        <w:bidi w:val="0"/>
        <w:spacing w:before="120" w:after="120"/>
        <w:jc w:val="center"/>
        <w:textAlignment w:val="auto"/>
        <w:rPr>
          <w:rFonts w:ascii="宋体"/>
          <w:b/>
          <w:color w:val="auto"/>
          <w:sz w:val="32"/>
          <w:highlight w:val="none"/>
        </w:rPr>
      </w:pPr>
      <w:r>
        <w:rPr>
          <w:rFonts w:hint="eastAsia" w:ascii="宋体"/>
          <w:b/>
          <w:color w:val="auto"/>
          <w:sz w:val="32"/>
          <w:highlight w:val="none"/>
        </w:rPr>
        <w:t>投 标 函</w:t>
      </w:r>
    </w:p>
    <w:p>
      <w:pPr>
        <w:keepNext w:val="0"/>
        <w:keepLines w:val="0"/>
        <w:pageBreakBefore w:val="0"/>
        <w:widowControl w:val="0"/>
        <w:kinsoku/>
        <w:overflowPunct/>
        <w:topLinePunct w:val="0"/>
        <w:bidi w:val="0"/>
        <w:textAlignment w:val="auto"/>
        <w:rPr>
          <w:rFonts w:ascii="宋体" w:hAnsi="Courier New"/>
          <w:color w:val="auto"/>
          <w:kern w:val="0"/>
          <w:sz w:val="20"/>
          <w:highlight w:val="none"/>
        </w:rPr>
      </w:pPr>
      <w:r>
        <w:rPr>
          <w:rFonts w:hint="eastAsia" w:ascii="宋体" w:hAnsi="Courier New"/>
          <w:color w:val="auto"/>
          <w:kern w:val="0"/>
          <w:sz w:val="20"/>
          <w:highlight w:val="none"/>
        </w:rPr>
        <w:t>致:</w:t>
      </w:r>
      <w:r>
        <w:rPr>
          <w:rFonts w:ascii="宋体" w:hAnsi="Courier New"/>
          <w:color w:val="auto"/>
          <w:kern w:val="0"/>
          <w:sz w:val="20"/>
          <w:highlight w:val="none"/>
        </w:rPr>
        <w:t>四川天府银行股份有限公司</w:t>
      </w:r>
    </w:p>
    <w:p>
      <w:pPr>
        <w:pStyle w:val="6"/>
        <w:keepNext w:val="0"/>
        <w:keepLines w:val="0"/>
        <w:pageBreakBefore w:val="0"/>
        <w:widowControl w:val="0"/>
        <w:kinsoku/>
        <w:overflowPunct/>
        <w:topLinePunct w:val="0"/>
        <w:bidi w:val="0"/>
        <w:ind w:firstLine="400" w:firstLineChars="200"/>
        <w:textAlignment w:val="auto"/>
        <w:rPr>
          <w:color w:val="auto"/>
          <w:highlight w:val="none"/>
        </w:rPr>
      </w:pPr>
      <w:r>
        <w:rPr>
          <w:rFonts w:hint="eastAsia"/>
          <w:color w:val="auto"/>
          <w:highlight w:val="none"/>
        </w:rPr>
        <w:t>我方确认收到贵方</w:t>
      </w:r>
      <w:r>
        <w:rPr>
          <w:rFonts w:hint="eastAsia"/>
          <w:color w:val="auto"/>
          <w:highlight w:val="none"/>
          <w:u w:val="single"/>
        </w:rPr>
        <w:t>_</w:t>
      </w:r>
      <w:r>
        <w:rPr>
          <w:rFonts w:hint="eastAsia" w:ascii="宋体" w:hAnsi="宋体" w:eastAsia="宋体" w:cs="Times New Roman"/>
          <w:color w:val="auto"/>
          <w:sz w:val="20"/>
          <w:highlight w:val="none"/>
          <w:u w:val="single"/>
          <w:lang w:val="zh-CN"/>
        </w:rPr>
        <w:t>四川天府银行</w:t>
      </w:r>
      <w:r>
        <w:rPr>
          <w:rFonts w:hint="eastAsia" w:ascii="宋体" w:hAnsi="宋体" w:cs="Times New Roman"/>
          <w:color w:val="auto"/>
          <w:sz w:val="20"/>
          <w:highlight w:val="none"/>
          <w:u w:val="single"/>
          <w:lang w:val="en-US" w:eastAsia="zh-CN"/>
        </w:rPr>
        <w:t>股份有限公司舆情监测与媒体公关服务</w:t>
      </w:r>
      <w:r>
        <w:rPr>
          <w:rFonts w:hint="eastAsia" w:ascii="宋体" w:hAnsi="宋体" w:eastAsia="宋体" w:cs="Times New Roman"/>
          <w:color w:val="auto"/>
          <w:sz w:val="20"/>
          <w:highlight w:val="none"/>
          <w:u w:val="single"/>
          <w:lang w:val="zh-CN"/>
        </w:rPr>
        <w:t>项目</w:t>
      </w:r>
      <w:r>
        <w:rPr>
          <w:rFonts w:hint="eastAsia" w:hAnsi="宋体"/>
          <w:i/>
          <w:color w:val="auto"/>
          <w:kern w:val="28"/>
          <w:highlight w:val="none"/>
          <w:u w:val="single"/>
        </w:rPr>
        <w:t>_</w:t>
      </w:r>
      <w:r>
        <w:rPr>
          <w:rFonts w:hint="eastAsia" w:hAnsi="宋体"/>
          <w:color w:val="auto"/>
          <w:kern w:val="28"/>
          <w:highlight w:val="none"/>
        </w:rPr>
        <w:t>采购</w:t>
      </w:r>
      <w:r>
        <w:rPr>
          <w:rFonts w:hint="eastAsia"/>
          <w:color w:val="auto"/>
          <w:highlight w:val="none"/>
        </w:rPr>
        <w:t>的招标文件，</w:t>
      </w:r>
      <w:r>
        <w:rPr>
          <w:rFonts w:hint="eastAsia"/>
          <w:i/>
          <w:color w:val="auto"/>
          <w:highlight w:val="none"/>
          <w:u w:val="single"/>
        </w:rPr>
        <w:t>(投标人名称)</w:t>
      </w:r>
      <w:r>
        <w:rPr>
          <w:rFonts w:hint="eastAsia"/>
          <w:color w:val="auto"/>
          <w:highlight w:val="none"/>
        </w:rPr>
        <w:t>作为投标人已正式授权</w:t>
      </w:r>
      <w:r>
        <w:rPr>
          <w:rFonts w:hint="eastAsia"/>
          <w:i/>
          <w:color w:val="auto"/>
          <w:highlight w:val="none"/>
          <w:u w:val="single"/>
        </w:rPr>
        <w:t>(被授权代表全名、职务)</w:t>
      </w:r>
      <w:r>
        <w:rPr>
          <w:rFonts w:hint="eastAsia"/>
          <w:color w:val="auto"/>
          <w:highlight w:val="none"/>
        </w:rPr>
        <w:t>代表我方提交投标文件，正本一份副本六份，并在正本内附有对应于投标文件各册内容的电子文件一套（U盘形式）。</w:t>
      </w:r>
    </w:p>
    <w:p>
      <w:pPr>
        <w:pStyle w:val="6"/>
        <w:keepNext w:val="0"/>
        <w:keepLines w:val="0"/>
        <w:pageBreakBefore w:val="0"/>
        <w:widowControl w:val="0"/>
        <w:kinsoku/>
        <w:overflowPunct/>
        <w:topLinePunct w:val="0"/>
        <w:bidi w:val="0"/>
        <w:ind w:firstLine="360"/>
        <w:textAlignment w:val="auto"/>
        <w:rPr>
          <w:color w:val="auto"/>
          <w:highlight w:val="none"/>
        </w:rPr>
      </w:pPr>
      <w:r>
        <w:rPr>
          <w:rFonts w:hint="eastAsia"/>
          <w:color w:val="auto"/>
          <w:highlight w:val="none"/>
        </w:rPr>
        <w:t xml:space="preserve">投标文件包括如下内容: </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1．投标函；</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2．投标报价表；</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3．授权书；</w:t>
      </w:r>
    </w:p>
    <w:p>
      <w:pPr>
        <w:keepNext w:val="0"/>
        <w:keepLines w:val="0"/>
        <w:pageBreakBefore w:val="0"/>
        <w:widowControl w:val="0"/>
        <w:kinsoku/>
        <w:overflowPunct/>
        <w:topLinePunct w:val="0"/>
        <w:bidi w:val="0"/>
        <w:spacing w:line="360" w:lineRule="auto"/>
        <w:ind w:firstLine="420" w:firstLineChars="200"/>
        <w:textAlignment w:val="auto"/>
        <w:rPr>
          <w:rFonts w:hint="eastAsia"/>
          <w:color w:val="auto"/>
          <w:highlight w:val="none"/>
        </w:rPr>
      </w:pPr>
      <w:r>
        <w:rPr>
          <w:rFonts w:hint="eastAsia"/>
          <w:color w:val="auto"/>
          <w:highlight w:val="none"/>
        </w:rPr>
        <w:t>4．资格证明文件，资质证明文件、业绩情况；</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lang w:val="en-US" w:eastAsia="zh-CN"/>
        </w:rPr>
        <w:t>5</w:t>
      </w:r>
      <w:r>
        <w:rPr>
          <w:rFonts w:hint="eastAsia"/>
          <w:color w:val="auto"/>
          <w:highlight w:val="none"/>
        </w:rPr>
        <w:t>．按招标文件中投标人须知及投标文件格式提供的</w:t>
      </w:r>
      <w:r>
        <w:rPr>
          <w:rFonts w:hint="eastAsia"/>
          <w:color w:val="auto"/>
          <w:highlight w:val="none"/>
          <w:lang w:eastAsia="zh-CN"/>
        </w:rPr>
        <w:t>其他</w:t>
      </w:r>
      <w:r>
        <w:rPr>
          <w:rFonts w:hint="eastAsia"/>
          <w:color w:val="auto"/>
          <w:highlight w:val="none"/>
        </w:rPr>
        <w:t>有关文件；</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lang w:val="en-US" w:eastAsia="zh-CN"/>
        </w:rPr>
        <w:t>6</w:t>
      </w:r>
      <w:r>
        <w:rPr>
          <w:rFonts w:hint="eastAsia"/>
          <w:color w:val="auto"/>
          <w:highlight w:val="none"/>
        </w:rPr>
        <w:t>．证明拟提供的产品和服务符合招标文件规定的合法性证明文件。</w:t>
      </w:r>
    </w:p>
    <w:p>
      <w:pPr>
        <w:pStyle w:val="6"/>
        <w:keepNext w:val="0"/>
        <w:keepLines w:val="0"/>
        <w:pageBreakBefore w:val="0"/>
        <w:widowControl w:val="0"/>
        <w:kinsoku/>
        <w:overflowPunct/>
        <w:topLinePunct w:val="0"/>
        <w:bidi w:val="0"/>
        <w:spacing w:before="12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我方已完全明白招标文件的所有条款要求，并重申以下几点：</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1．本投标文件的有效期为投标文件提交截止之日起1</w:t>
      </w:r>
      <w:r>
        <w:rPr>
          <w:rFonts w:hint="eastAsia"/>
          <w:color w:val="auto"/>
          <w:highlight w:val="none"/>
          <w:lang w:val="en-US" w:eastAsia="zh-CN"/>
        </w:rPr>
        <w:t>0</w:t>
      </w:r>
      <w:r>
        <w:rPr>
          <w:rFonts w:hint="eastAsia"/>
          <w:color w:val="auto"/>
          <w:highlight w:val="none"/>
        </w:rPr>
        <w:t>0天内有效；</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2．我方已详细研究了招标文件的所有内容，包括修改文件(如果有)和所有已收到的参考资料以及有关附件，并完全明白。我方放弃在此方面提出不明或误解的一切权利。</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3．对贵方在招标文件中（包括修改文件(如果有)和所有已收到的参考资料以及有关附件）有关权利义务和责任限制或免除条款的含义，我方已完全明白并接受。</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4．我方同意按照贵方可能提出的要求而提供与投标有关的任何</w:t>
      </w:r>
      <w:r>
        <w:rPr>
          <w:rFonts w:hint="eastAsia"/>
          <w:color w:val="auto"/>
          <w:highlight w:val="none"/>
          <w:lang w:eastAsia="zh-CN"/>
        </w:rPr>
        <w:t>其他</w:t>
      </w:r>
      <w:r>
        <w:rPr>
          <w:rFonts w:hint="eastAsia"/>
          <w:color w:val="auto"/>
          <w:highlight w:val="none"/>
        </w:rPr>
        <w:t>数据或信息。</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5．我方理解贵方不一定接受最低投标价或贵方收到的任何投标。</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6．我方如果中选，将按照招标文件及其修改文件（如果有）的要求及我方承诺，按质、按量、按期履行全部合同责任和义务。</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7．所有与本招标有关的函件请按下列联系方式发送:</w:t>
      </w: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ind w:left="721"/>
        <w:textAlignment w:val="auto"/>
        <w:rPr>
          <w:rFonts w:ascii="宋体"/>
          <w:color w:val="auto"/>
          <w:highlight w:val="none"/>
        </w:rPr>
      </w:pPr>
      <w:r>
        <w:rPr>
          <w:rFonts w:hint="eastAsia" w:ascii="宋体"/>
          <w:color w:val="auto"/>
          <w:highlight w:val="none"/>
        </w:rPr>
        <w:t xml:space="preserve">地    址：.  </w:t>
      </w:r>
    </w:p>
    <w:p>
      <w:pPr>
        <w:keepNext w:val="0"/>
        <w:keepLines w:val="0"/>
        <w:pageBreakBefore w:val="0"/>
        <w:widowControl w:val="0"/>
        <w:kinsoku/>
        <w:overflowPunct/>
        <w:topLinePunct w:val="0"/>
        <w:bidi w:val="0"/>
        <w:ind w:left="721"/>
        <w:textAlignment w:val="auto"/>
        <w:rPr>
          <w:rFonts w:ascii="宋体"/>
          <w:color w:val="auto"/>
          <w:highlight w:val="none"/>
        </w:rPr>
      </w:pPr>
      <w:r>
        <w:rPr>
          <w:rFonts w:hint="eastAsia" w:ascii="宋体"/>
          <w:color w:val="auto"/>
          <w:highlight w:val="none"/>
        </w:rPr>
        <w:t>邮政编码：.</w:t>
      </w:r>
    </w:p>
    <w:p>
      <w:pPr>
        <w:keepNext w:val="0"/>
        <w:keepLines w:val="0"/>
        <w:pageBreakBefore w:val="0"/>
        <w:widowControl w:val="0"/>
        <w:kinsoku/>
        <w:overflowPunct/>
        <w:topLinePunct w:val="0"/>
        <w:bidi w:val="0"/>
        <w:ind w:left="721"/>
        <w:textAlignment w:val="auto"/>
        <w:rPr>
          <w:rFonts w:ascii="宋体"/>
          <w:color w:val="auto"/>
          <w:highlight w:val="none"/>
          <w:u w:val="single"/>
        </w:rPr>
      </w:pPr>
      <w:r>
        <w:rPr>
          <w:rFonts w:hint="eastAsia" w:ascii="宋体"/>
          <w:color w:val="auto"/>
          <w:highlight w:val="none"/>
        </w:rPr>
        <w:t>联 系 人：.</w:t>
      </w:r>
    </w:p>
    <w:p>
      <w:pPr>
        <w:keepNext w:val="0"/>
        <w:keepLines w:val="0"/>
        <w:pageBreakBefore w:val="0"/>
        <w:widowControl w:val="0"/>
        <w:kinsoku/>
        <w:overflowPunct/>
        <w:topLinePunct w:val="0"/>
        <w:bidi w:val="0"/>
        <w:ind w:left="721"/>
        <w:textAlignment w:val="auto"/>
        <w:rPr>
          <w:rFonts w:ascii="宋体"/>
          <w:color w:val="auto"/>
          <w:highlight w:val="none"/>
        </w:rPr>
      </w:pPr>
      <w:r>
        <w:rPr>
          <w:rFonts w:hint="eastAsia" w:ascii="宋体"/>
          <w:color w:val="auto"/>
          <w:highlight w:val="none"/>
        </w:rPr>
        <w:t xml:space="preserve">电    话：.  </w:t>
      </w:r>
    </w:p>
    <w:p>
      <w:pPr>
        <w:keepNext w:val="0"/>
        <w:keepLines w:val="0"/>
        <w:pageBreakBefore w:val="0"/>
        <w:widowControl w:val="0"/>
        <w:kinsoku/>
        <w:overflowPunct/>
        <w:topLinePunct w:val="0"/>
        <w:bidi w:val="0"/>
        <w:ind w:left="721"/>
        <w:textAlignment w:val="auto"/>
        <w:rPr>
          <w:rFonts w:ascii="宋体"/>
          <w:color w:val="auto"/>
          <w:highlight w:val="none"/>
          <w:u w:val="single"/>
        </w:rPr>
      </w:pPr>
      <w:r>
        <w:rPr>
          <w:rFonts w:hint="eastAsia" w:ascii="宋体"/>
          <w:color w:val="auto"/>
          <w:highlight w:val="none"/>
        </w:rPr>
        <w:t>传    真：.</w:t>
      </w:r>
    </w:p>
    <w:p>
      <w:pPr>
        <w:keepNext w:val="0"/>
        <w:keepLines w:val="0"/>
        <w:pageBreakBefore w:val="0"/>
        <w:widowControl w:val="0"/>
        <w:kinsoku/>
        <w:overflowPunct/>
        <w:topLinePunct w:val="0"/>
        <w:bidi w:val="0"/>
        <w:textAlignment w:val="auto"/>
        <w:rPr>
          <w:rFonts w:ascii="宋体"/>
          <w:color w:val="auto"/>
          <w:highlight w:val="none"/>
          <w:u w:val="single"/>
        </w:rPr>
      </w:pPr>
    </w:p>
    <w:p>
      <w:pPr>
        <w:keepNext w:val="0"/>
        <w:keepLines w:val="0"/>
        <w:pageBreakBefore w:val="0"/>
        <w:widowControl w:val="0"/>
        <w:kinsoku/>
        <w:overflowPunct/>
        <w:topLinePunct w:val="0"/>
        <w:bidi w:val="0"/>
        <w:textAlignment w:val="auto"/>
        <w:rPr>
          <w:rFonts w:ascii="宋体"/>
          <w:color w:val="auto"/>
          <w:highlight w:val="none"/>
          <w:u w:val="single"/>
        </w:rPr>
      </w:pPr>
    </w:p>
    <w:p>
      <w:pPr>
        <w:keepNext w:val="0"/>
        <w:keepLines w:val="0"/>
        <w:pageBreakBefore w:val="0"/>
        <w:widowControl w:val="0"/>
        <w:kinsoku/>
        <w:overflowPunct/>
        <w:topLinePunct w:val="0"/>
        <w:bidi w:val="0"/>
        <w:ind w:left="4599" w:leftChars="2190"/>
        <w:textAlignment w:val="auto"/>
        <w:rPr>
          <w:rFonts w:ascii="宋体"/>
          <w:color w:val="auto"/>
          <w:highlight w:val="none"/>
        </w:rPr>
      </w:pPr>
      <w:r>
        <w:rPr>
          <w:rFonts w:hint="eastAsia" w:ascii="宋体"/>
          <w:color w:val="auto"/>
          <w:highlight w:val="none"/>
        </w:rPr>
        <w:t>投标人（公章）：</w:t>
      </w:r>
    </w:p>
    <w:p>
      <w:pPr>
        <w:keepNext w:val="0"/>
        <w:keepLines w:val="0"/>
        <w:pageBreakBefore w:val="0"/>
        <w:widowControl w:val="0"/>
        <w:kinsoku/>
        <w:overflowPunct/>
        <w:topLinePunct w:val="0"/>
        <w:bidi w:val="0"/>
        <w:ind w:left="4599" w:leftChars="2190"/>
        <w:textAlignment w:val="auto"/>
        <w:rPr>
          <w:rFonts w:ascii="宋体"/>
          <w:color w:val="auto"/>
          <w:highlight w:val="none"/>
        </w:rPr>
      </w:pPr>
      <w:r>
        <w:rPr>
          <w:rFonts w:hint="eastAsia" w:ascii="宋体"/>
          <w:color w:val="auto"/>
          <w:highlight w:val="none"/>
        </w:rPr>
        <w:t>法定代表人</w:t>
      </w:r>
    </w:p>
    <w:p>
      <w:pPr>
        <w:keepNext w:val="0"/>
        <w:keepLines w:val="0"/>
        <w:pageBreakBefore w:val="0"/>
        <w:widowControl w:val="0"/>
        <w:kinsoku/>
        <w:overflowPunct/>
        <w:topLinePunct w:val="0"/>
        <w:bidi w:val="0"/>
        <w:ind w:left="4599" w:leftChars="2190"/>
        <w:textAlignment w:val="auto"/>
        <w:rPr>
          <w:rFonts w:ascii="宋体"/>
          <w:color w:val="auto"/>
          <w:highlight w:val="none"/>
        </w:rPr>
      </w:pPr>
      <w:r>
        <w:rPr>
          <w:rFonts w:hint="eastAsia" w:ascii="宋体"/>
          <w:color w:val="auto"/>
          <w:highlight w:val="none"/>
        </w:rPr>
        <w:t>或被授权人签名（或盖章）：</w:t>
      </w: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r>
        <w:rPr>
          <w:rFonts w:hint="eastAsia" w:ascii="宋体"/>
          <w:color w:val="auto"/>
          <w:highlight w:val="none"/>
        </w:rPr>
        <w:t>日    期：</w:t>
      </w: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1" w:name="_Toc55544845"/>
      <w:bookmarkStart w:id="62" w:name="_Toc9246"/>
      <w:r>
        <w:rPr>
          <w:rFonts w:hint="eastAsia"/>
          <w:color w:val="auto"/>
          <w:highlight w:val="none"/>
        </w:rPr>
        <w:t>投标报价表格式</w:t>
      </w:r>
      <w:bookmarkEnd w:id="61"/>
      <w:bookmarkEnd w:id="62"/>
    </w:p>
    <w:p>
      <w:pPr>
        <w:pStyle w:val="6"/>
        <w:keepNext w:val="0"/>
        <w:keepLines w:val="0"/>
        <w:pageBreakBefore w:val="0"/>
        <w:widowControl w:val="0"/>
        <w:kinsoku/>
        <w:overflowPunct/>
        <w:topLinePunct w:val="0"/>
        <w:bidi w:val="0"/>
        <w:jc w:val="center"/>
        <w:textAlignment w:val="auto"/>
        <w:rPr>
          <w:rFonts w:hint="eastAsia" w:hAnsi="宋体"/>
          <w:b/>
          <w:color w:val="auto"/>
          <w:sz w:val="32"/>
          <w:highlight w:val="none"/>
        </w:rPr>
      </w:pPr>
      <w:r>
        <w:rPr>
          <w:rFonts w:hint="eastAsia" w:hAnsi="宋体"/>
          <w:b/>
          <w:color w:val="auto"/>
          <w:sz w:val="32"/>
          <w:highlight w:val="none"/>
        </w:rPr>
        <w:t>分项报价表（格式）</w:t>
      </w:r>
    </w:p>
    <w:p>
      <w:pPr>
        <w:keepNext w:val="0"/>
        <w:keepLines w:val="0"/>
        <w:pageBreakBefore w:val="0"/>
        <w:widowControl w:val="0"/>
        <w:kinsoku/>
        <w:overflowPunct/>
        <w:topLinePunct w:val="0"/>
        <w:bidi w:val="0"/>
        <w:spacing w:line="360" w:lineRule="auto"/>
        <w:jc w:val="left"/>
        <w:textAlignment w:val="auto"/>
        <w:rPr>
          <w:rFonts w:hint="eastAsia" w:ascii="宋体" w:hAnsi="宋体" w:eastAsia="宋体" w:cs="Times New Roman"/>
          <w:color w:val="auto"/>
          <w:sz w:val="20"/>
          <w:highlight w:val="none"/>
          <w:lang w:val="zh-CN"/>
        </w:rPr>
      </w:pPr>
      <w:r>
        <w:rPr>
          <w:rFonts w:hint="eastAsia" w:ascii="宋体" w:hAnsi="宋体" w:eastAsia="宋体" w:cs="Times New Roman"/>
          <w:color w:val="auto"/>
          <w:sz w:val="20"/>
          <w:highlight w:val="none"/>
          <w:lang w:val="zh-CN"/>
        </w:rPr>
        <w:t>项目名称：四川天府银行</w:t>
      </w:r>
      <w:r>
        <w:rPr>
          <w:rFonts w:hint="eastAsia" w:ascii="宋体" w:hAnsi="宋体" w:cs="Times New Roman"/>
          <w:color w:val="auto"/>
          <w:sz w:val="20"/>
          <w:highlight w:val="none"/>
          <w:lang w:val="en-US" w:eastAsia="zh-CN"/>
        </w:rPr>
        <w:t>股份有限公司舆情监测与媒体公关服务</w:t>
      </w:r>
      <w:r>
        <w:rPr>
          <w:rFonts w:hint="eastAsia" w:ascii="宋体" w:hAnsi="宋体" w:eastAsia="宋体" w:cs="Times New Roman"/>
          <w:color w:val="auto"/>
          <w:sz w:val="20"/>
          <w:highlight w:val="none"/>
          <w:lang w:val="zh-CN"/>
        </w:rPr>
        <w:t>项目</w:t>
      </w:r>
    </w:p>
    <w:tbl>
      <w:tblPr>
        <w:tblStyle w:val="14"/>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70"/>
        <w:gridCol w:w="2055"/>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序号</w:t>
            </w:r>
          </w:p>
        </w:tc>
        <w:tc>
          <w:tcPr>
            <w:tcW w:w="3870"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hint="eastAsia" w:ascii="宋体" w:hAnsi="宋体" w:eastAsia="宋体"/>
                <w:color w:val="auto"/>
                <w:sz w:val="20"/>
                <w:highlight w:val="none"/>
                <w:lang w:val="en-US" w:eastAsia="zh-CN"/>
              </w:rPr>
            </w:pPr>
            <w:r>
              <w:rPr>
                <w:rFonts w:hint="eastAsia" w:ascii="宋体" w:hAnsi="宋体"/>
                <w:color w:val="auto"/>
                <w:sz w:val="20"/>
                <w:highlight w:val="none"/>
                <w:lang w:val="en-US" w:eastAsia="zh-CN"/>
              </w:rPr>
              <w:t>服务</w:t>
            </w:r>
            <w:r>
              <w:rPr>
                <w:rFonts w:hint="eastAsia" w:ascii="宋体" w:hAnsi="宋体"/>
                <w:color w:val="auto"/>
                <w:sz w:val="20"/>
                <w:highlight w:val="none"/>
              </w:rPr>
              <w:t>项目</w:t>
            </w:r>
            <w:r>
              <w:rPr>
                <w:rFonts w:hint="eastAsia" w:ascii="宋体" w:hAnsi="宋体"/>
                <w:color w:val="auto"/>
                <w:sz w:val="20"/>
                <w:highlight w:val="none"/>
                <w:lang w:val="en-US" w:eastAsia="zh-CN"/>
              </w:rPr>
              <w:t>名称</w:t>
            </w: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hint="default" w:ascii="宋体" w:hAnsi="宋体" w:eastAsia="宋体"/>
                <w:color w:val="auto"/>
                <w:sz w:val="20"/>
                <w:highlight w:val="none"/>
                <w:lang w:val="en-US" w:eastAsia="zh-CN"/>
              </w:rPr>
            </w:pPr>
            <w:r>
              <w:rPr>
                <w:rFonts w:hint="eastAsia" w:ascii="宋体" w:hAnsi="宋体"/>
                <w:color w:val="auto"/>
                <w:sz w:val="20"/>
                <w:highlight w:val="none"/>
                <w:lang w:val="en-US" w:eastAsia="zh-CN"/>
              </w:rPr>
              <w:t>服务内容</w:t>
            </w: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hint="eastAsia" w:ascii="宋体" w:hAnsi="宋体" w:eastAsia="宋体"/>
                <w:color w:val="auto"/>
                <w:sz w:val="20"/>
                <w:highlight w:val="none"/>
                <w:lang w:eastAsia="zh-CN"/>
              </w:rPr>
            </w:pPr>
            <w:r>
              <w:rPr>
                <w:rFonts w:hint="eastAsia" w:ascii="宋体" w:hAnsi="宋体"/>
                <w:color w:val="auto"/>
                <w:sz w:val="20"/>
                <w:highlight w:val="none"/>
                <w:lang w:val="en-US" w:eastAsia="zh-CN"/>
              </w:rPr>
              <w:t>价格</w:t>
            </w: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19" w:type="dxa"/>
            <w:gridSpan w:val="5"/>
            <w:tcBorders>
              <w:bottom w:val="single" w:color="auto" w:sz="4" w:space="0"/>
            </w:tcBorders>
            <w:shd w:val="clear" w:color="auto" w:fill="BFBFBF"/>
            <w:noWrap w:val="0"/>
            <w:vAlign w:val="center"/>
          </w:tcPr>
          <w:p>
            <w:pPr>
              <w:keepNext w:val="0"/>
              <w:keepLines w:val="0"/>
              <w:pageBreakBefore w:val="0"/>
              <w:widowControl w:val="0"/>
              <w:kinsoku/>
              <w:overflowPunct/>
              <w:topLinePunct w:val="0"/>
              <w:bidi w:val="0"/>
              <w:textAlignment w:val="auto"/>
              <w:rPr>
                <w:rFonts w:hint="eastAsia" w:ascii="宋体" w:hAnsi="宋体"/>
                <w:color w:val="auto"/>
                <w:sz w:val="20"/>
                <w:highlight w:val="none"/>
              </w:rPr>
            </w:pPr>
            <w:r>
              <w:rPr>
                <w:rFonts w:hint="eastAsia" w:ascii="宋体" w:hAnsi="宋体"/>
                <w:color w:val="auto"/>
                <w:sz w:val="20"/>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1.1</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1.2</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1.3</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1.4</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hint="eastAsia" w:ascii="宋体" w:hAnsi="宋体"/>
                <w:color w:val="auto"/>
                <w:sz w:val="20"/>
                <w:highlight w:val="none"/>
              </w:rPr>
            </w:pPr>
            <w:r>
              <w:rPr>
                <w:rFonts w:ascii="宋体" w:hAnsi="宋体"/>
                <w:color w:val="auto"/>
                <w:sz w:val="20"/>
                <w:highlight w:val="none"/>
              </w:rPr>
              <w:t>……</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9" w:type="dxa"/>
            <w:gridSpan w:val="5"/>
            <w:shd w:val="clear" w:color="auto" w:fill="FFFFFF"/>
            <w:noWrap w:val="0"/>
            <w:vAlign w:val="center"/>
          </w:tcPr>
          <w:p>
            <w:pPr>
              <w:keepNext w:val="0"/>
              <w:keepLines w:val="0"/>
              <w:pageBreakBefore w:val="0"/>
              <w:widowControl w:val="0"/>
              <w:kinsoku/>
              <w:overflowPunct/>
              <w:topLinePunct w:val="0"/>
              <w:bidi w:val="0"/>
              <w:textAlignment w:val="auto"/>
              <w:rPr>
                <w:rFonts w:hint="eastAsia" w:ascii="宋体" w:hAnsi="宋体"/>
                <w:color w:val="auto"/>
                <w:sz w:val="20"/>
                <w:highlight w:val="none"/>
              </w:rPr>
            </w:pPr>
            <w:r>
              <w:rPr>
                <w:rFonts w:hint="eastAsia" w:ascii="宋体" w:hAnsi="宋体"/>
                <w:color w:val="auto"/>
                <w:sz w:val="20"/>
                <w:highlight w:val="none"/>
              </w:rPr>
              <w:t>报价合计（人民币元）：</w:t>
            </w:r>
          </w:p>
        </w:tc>
      </w:tr>
    </w:tbl>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textAlignment w:val="auto"/>
        <w:rPr>
          <w:color w:val="auto"/>
          <w:sz w:val="20"/>
          <w:highlight w:val="none"/>
        </w:rPr>
      </w:pPr>
    </w:p>
    <w:p>
      <w:pPr>
        <w:keepNext w:val="0"/>
        <w:keepLines w:val="0"/>
        <w:pageBreakBefore w:val="0"/>
        <w:widowControl w:val="0"/>
        <w:kinsoku/>
        <w:overflowPunct/>
        <w:topLinePunct w:val="0"/>
        <w:bidi w:val="0"/>
        <w:spacing w:line="360" w:lineRule="auto"/>
        <w:textAlignment w:val="auto"/>
        <w:rPr>
          <w:color w:val="auto"/>
          <w:sz w:val="20"/>
          <w:highlight w:val="non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3" w:name="_Toc55544846"/>
      <w:bookmarkStart w:id="64" w:name="_Toc29134"/>
      <w:r>
        <w:rPr>
          <w:rFonts w:hint="eastAsia"/>
          <w:color w:val="auto"/>
          <w:highlight w:val="none"/>
        </w:rPr>
        <w:t>法定代表人授权委托书格式</w:t>
      </w:r>
      <w:bookmarkEnd w:id="63"/>
      <w:bookmarkEnd w:id="64"/>
    </w:p>
    <w:p>
      <w:pPr>
        <w:keepNext w:val="0"/>
        <w:keepLines w:val="0"/>
        <w:pageBreakBefore w:val="0"/>
        <w:widowControl w:val="0"/>
        <w:kinsoku/>
        <w:overflowPunct/>
        <w:topLinePunct w:val="0"/>
        <w:bidi w:val="0"/>
        <w:adjustRightInd w:val="0"/>
        <w:snapToGrid w:val="0"/>
        <w:spacing w:line="360" w:lineRule="auto"/>
        <w:textAlignment w:val="auto"/>
        <w:rPr>
          <w:rFonts w:ascii="宋体"/>
          <w:color w:val="auto"/>
          <w:highlight w:val="none"/>
        </w:rPr>
      </w:pPr>
    </w:p>
    <w:p>
      <w:pPr>
        <w:pStyle w:val="6"/>
        <w:keepNext w:val="0"/>
        <w:keepLines w:val="0"/>
        <w:pageBreakBefore w:val="0"/>
        <w:widowControl w:val="0"/>
        <w:kinsoku/>
        <w:overflowPunct/>
        <w:topLinePunct w:val="0"/>
        <w:bidi w:val="0"/>
        <w:jc w:val="center"/>
        <w:textAlignment w:val="auto"/>
        <w:rPr>
          <w:b/>
          <w:color w:val="auto"/>
          <w:sz w:val="32"/>
          <w:highlight w:val="none"/>
        </w:rPr>
      </w:pPr>
      <w:r>
        <w:rPr>
          <w:rFonts w:hint="eastAsia"/>
          <w:b/>
          <w:color w:val="auto"/>
          <w:sz w:val="32"/>
          <w:highlight w:val="none"/>
        </w:rPr>
        <w:t>法定代表人授权委托书</w:t>
      </w:r>
    </w:p>
    <w:p>
      <w:pPr>
        <w:pStyle w:val="6"/>
        <w:keepNext w:val="0"/>
        <w:keepLines w:val="0"/>
        <w:pageBreakBefore w:val="0"/>
        <w:widowControl w:val="0"/>
        <w:kinsoku/>
        <w:overflowPunct/>
        <w:topLinePunct w:val="0"/>
        <w:bidi w:val="0"/>
        <w:textAlignment w:val="auto"/>
        <w:rPr>
          <w:color w:val="auto"/>
          <w:highlight w:val="none"/>
        </w:rPr>
      </w:pPr>
    </w:p>
    <w:p>
      <w:pPr>
        <w:keepNext w:val="0"/>
        <w:keepLines w:val="0"/>
        <w:pageBreakBefore w:val="0"/>
        <w:widowControl w:val="0"/>
        <w:kinsoku/>
        <w:overflowPunct/>
        <w:topLinePunct w:val="0"/>
        <w:bidi w:val="0"/>
        <w:textAlignment w:val="auto"/>
        <w:rPr>
          <w:rFonts w:ascii="宋体" w:hAnsi="Courier New"/>
          <w:color w:val="auto"/>
          <w:kern w:val="0"/>
          <w:sz w:val="20"/>
          <w:highlight w:val="none"/>
        </w:rPr>
      </w:pPr>
      <w:r>
        <w:rPr>
          <w:rFonts w:hint="eastAsia" w:ascii="宋体" w:hAnsi="Courier New"/>
          <w:color w:val="auto"/>
          <w:kern w:val="0"/>
          <w:sz w:val="20"/>
          <w:highlight w:val="none"/>
        </w:rPr>
        <w:t>致:</w:t>
      </w:r>
      <w:r>
        <w:rPr>
          <w:rFonts w:ascii="宋体" w:hAnsi="Courier New"/>
          <w:color w:val="auto"/>
          <w:kern w:val="0"/>
          <w:sz w:val="20"/>
          <w:highlight w:val="none"/>
        </w:rPr>
        <w:t>四川天府银行股份有限公司</w:t>
      </w:r>
    </w:p>
    <w:p>
      <w:pPr>
        <w:pStyle w:val="6"/>
        <w:keepNext w:val="0"/>
        <w:keepLines w:val="0"/>
        <w:pageBreakBefore w:val="0"/>
        <w:widowControl w:val="0"/>
        <w:kinsoku/>
        <w:overflowPunct/>
        <w:topLinePunct w:val="0"/>
        <w:bidi w:val="0"/>
        <w:ind w:firstLine="400" w:firstLineChars="200"/>
        <w:textAlignment w:val="auto"/>
        <w:rPr>
          <w:color w:val="auto"/>
          <w:highlight w:val="none"/>
        </w:rPr>
      </w:pPr>
      <w:r>
        <w:rPr>
          <w:rFonts w:hint="eastAsia"/>
          <w:color w:val="auto"/>
          <w:highlight w:val="none"/>
        </w:rPr>
        <w:t>本授权书声明：</w:t>
      </w:r>
      <w:r>
        <w:rPr>
          <w:rFonts w:hint="eastAsia"/>
          <w:i/>
          <w:color w:val="auto"/>
          <w:highlight w:val="none"/>
          <w:u w:val="single"/>
        </w:rPr>
        <w:t>（法定代表人姓名）</w:t>
      </w:r>
      <w:r>
        <w:rPr>
          <w:rFonts w:hint="eastAsia"/>
          <w:color w:val="auto"/>
          <w:highlight w:val="none"/>
        </w:rPr>
        <w:t>为本公司（注册于</w:t>
      </w:r>
      <w:r>
        <w:rPr>
          <w:rFonts w:hint="eastAsia"/>
          <w:i/>
          <w:color w:val="auto"/>
          <w:highlight w:val="none"/>
        </w:rPr>
        <w:t>（</w:t>
      </w:r>
      <w:r>
        <w:rPr>
          <w:rFonts w:hint="eastAsia"/>
          <w:i/>
          <w:color w:val="auto"/>
          <w:highlight w:val="none"/>
          <w:u w:val="single"/>
        </w:rPr>
        <w:t>省、市、县）</w:t>
      </w:r>
      <w:r>
        <w:rPr>
          <w:rFonts w:hint="eastAsia"/>
          <w:color w:val="auto"/>
          <w:highlight w:val="none"/>
        </w:rPr>
        <w:t>的</w:t>
      </w:r>
      <w:r>
        <w:rPr>
          <w:rFonts w:hint="eastAsia"/>
          <w:i/>
          <w:color w:val="auto"/>
          <w:highlight w:val="none"/>
          <w:u w:val="single"/>
        </w:rPr>
        <w:t>（投标人名称）</w:t>
      </w:r>
      <w:r>
        <w:rPr>
          <w:rFonts w:hint="eastAsia"/>
          <w:color w:val="auto"/>
          <w:highlight w:val="none"/>
        </w:rPr>
        <w:t>）的法定代表人，现任</w:t>
      </w:r>
      <w:r>
        <w:rPr>
          <w:rFonts w:hint="eastAsia"/>
          <w:i/>
          <w:color w:val="auto"/>
          <w:highlight w:val="none"/>
          <w:u w:val="single"/>
        </w:rPr>
        <w:t>（法定代表人职务）</w:t>
      </w:r>
      <w:r>
        <w:rPr>
          <w:rFonts w:hint="eastAsia"/>
          <w:color w:val="auto"/>
          <w:highlight w:val="none"/>
        </w:rPr>
        <w:t>。在此代表本企业授权</w:t>
      </w:r>
      <w:r>
        <w:rPr>
          <w:rFonts w:hint="eastAsia"/>
          <w:i/>
          <w:color w:val="auto"/>
          <w:highlight w:val="none"/>
          <w:u w:val="single"/>
        </w:rPr>
        <w:t>（被授权人姓名、职务）</w:t>
      </w:r>
      <w:r>
        <w:rPr>
          <w:rFonts w:hint="eastAsia"/>
          <w:color w:val="auto"/>
          <w:highlight w:val="none"/>
        </w:rPr>
        <w:t>作为我公司的全权代理人，在</w:t>
      </w:r>
      <w:r>
        <w:rPr>
          <w:rFonts w:hint="eastAsia"/>
          <w:i/>
          <w:color w:val="auto"/>
          <w:highlight w:val="none"/>
          <w:u w:val="single"/>
        </w:rPr>
        <w:t>（项目名称）</w:t>
      </w:r>
      <w:r>
        <w:rPr>
          <w:rFonts w:hint="eastAsia"/>
          <w:color w:val="auto"/>
          <w:highlight w:val="none"/>
        </w:rPr>
        <w:t>的投标及其合同执行过程中，以我方的名义处理一切与之有关的事务。</w:t>
      </w:r>
    </w:p>
    <w:p>
      <w:pPr>
        <w:pStyle w:val="6"/>
        <w:keepNext w:val="0"/>
        <w:keepLines w:val="0"/>
        <w:pageBreakBefore w:val="0"/>
        <w:widowControl w:val="0"/>
        <w:kinsoku/>
        <w:overflowPunct/>
        <w:topLinePunct w:val="0"/>
        <w:bidi w:val="0"/>
        <w:textAlignment w:val="auto"/>
        <w:rPr>
          <w:color w:val="auto"/>
          <w:highlight w:val="none"/>
        </w:rPr>
      </w:pPr>
    </w:p>
    <w:p>
      <w:pPr>
        <w:pStyle w:val="6"/>
        <w:keepNext w:val="0"/>
        <w:keepLines w:val="0"/>
        <w:pageBreakBefore w:val="0"/>
        <w:widowControl w:val="0"/>
        <w:kinsoku/>
        <w:overflowPunct/>
        <w:topLinePunct w:val="0"/>
        <w:bidi w:val="0"/>
        <w:textAlignment w:val="auto"/>
        <w:rPr>
          <w:color w:val="auto"/>
          <w:highlight w:val="none"/>
        </w:rPr>
      </w:pPr>
    </w:p>
    <w:p>
      <w:pPr>
        <w:keepNext w:val="0"/>
        <w:keepLines w:val="0"/>
        <w:pageBreakBefore w:val="0"/>
        <w:widowControl w:val="0"/>
        <w:kinsoku/>
        <w:overflowPunct/>
        <w:topLinePunct w:val="0"/>
        <w:bidi w:val="0"/>
        <w:ind w:firstLine="420" w:firstLineChars="200"/>
        <w:textAlignment w:val="auto"/>
        <w:rPr>
          <w:rFonts w:ascii="宋体"/>
          <w:color w:val="auto"/>
          <w:highlight w:val="none"/>
        </w:rPr>
      </w:pPr>
      <w:r>
        <w:rPr>
          <w:rFonts w:hint="eastAsia" w:ascii="宋体"/>
          <w:color w:val="auto"/>
          <w:highlight w:val="none"/>
        </w:rPr>
        <w:t>本授权书于年月日签字生效，特此声明。</w:t>
      </w: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r>
        <w:rPr>
          <w:rFonts w:hint="eastAsia" w:ascii="宋体"/>
          <w:color w:val="auto"/>
          <w:highlight w:val="none"/>
        </w:rPr>
        <w:t>投标人（公章）：</w:t>
      </w: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r>
        <w:rPr>
          <w:rFonts w:hint="eastAsia" w:ascii="宋体"/>
          <w:color w:val="auto"/>
          <w:highlight w:val="none"/>
        </w:rPr>
        <w:t>地      址：</w:t>
      </w: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p>
    <w:p>
      <w:pPr>
        <w:keepNext w:val="0"/>
        <w:keepLines w:val="0"/>
        <w:pageBreakBefore w:val="0"/>
        <w:widowControl w:val="0"/>
        <w:tabs>
          <w:tab w:val="left" w:pos="3780"/>
        </w:tabs>
        <w:kinsoku/>
        <w:overflowPunct/>
        <w:topLinePunct w:val="0"/>
        <w:bidi w:val="0"/>
        <w:ind w:left="1159" w:leftChars="552" w:firstLine="2261"/>
        <w:textAlignment w:val="auto"/>
        <w:rPr>
          <w:rFonts w:ascii="宋体"/>
          <w:color w:val="auto"/>
          <w:highlight w:val="none"/>
        </w:rPr>
      </w:pPr>
      <w:r>
        <w:rPr>
          <w:rFonts w:hint="eastAsia" w:ascii="宋体"/>
          <w:color w:val="auto"/>
          <w:highlight w:val="none"/>
        </w:rPr>
        <w:t>法定代表人（签字或盖章）：</w:t>
      </w: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r>
        <w:rPr>
          <w:rFonts w:hint="eastAsia" w:ascii="宋体"/>
          <w:color w:val="auto"/>
          <w:spacing w:val="20"/>
          <w:highlight w:val="none"/>
        </w:rPr>
        <w:t>被授权人（签字或盖章）</w:t>
      </w:r>
      <w:r>
        <w:rPr>
          <w:rFonts w:hint="eastAsia" w:ascii="宋体"/>
          <w:color w:val="auto"/>
          <w:highlight w:val="none"/>
        </w:rPr>
        <w:t>：</w:t>
      </w: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color w:val="auto"/>
          <w:highlight w:val="non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5" w:name="_Toc19481"/>
      <w:bookmarkStart w:id="66" w:name="_Toc55544849"/>
      <w:r>
        <w:rPr>
          <w:rFonts w:hint="eastAsia"/>
          <w:color w:val="auto"/>
          <w:highlight w:val="none"/>
        </w:rPr>
        <w:t>资格声明格式</w:t>
      </w:r>
      <w:bookmarkEnd w:id="65"/>
      <w:bookmarkEnd w:id="66"/>
    </w:p>
    <w:p>
      <w:pPr>
        <w:keepNext w:val="0"/>
        <w:keepLines w:val="0"/>
        <w:pageBreakBefore w:val="0"/>
        <w:widowControl w:val="0"/>
        <w:kinsoku/>
        <w:overflowPunct/>
        <w:topLinePunct w:val="0"/>
        <w:bidi w:val="0"/>
        <w:spacing w:before="120"/>
        <w:jc w:val="center"/>
        <w:textAlignment w:val="auto"/>
        <w:rPr>
          <w:rFonts w:ascii="宋体"/>
          <w:b/>
          <w:color w:val="auto"/>
          <w:sz w:val="32"/>
          <w:highlight w:val="none"/>
        </w:rPr>
      </w:pPr>
      <w:r>
        <w:rPr>
          <w:rFonts w:hint="eastAsia" w:ascii="宋体"/>
          <w:b/>
          <w:color w:val="auto"/>
          <w:sz w:val="32"/>
          <w:highlight w:val="none"/>
        </w:rPr>
        <w:t>资 格 声 明</w:t>
      </w:r>
    </w:p>
    <w:p>
      <w:pPr>
        <w:keepNext w:val="0"/>
        <w:keepLines w:val="0"/>
        <w:pageBreakBefore w:val="0"/>
        <w:widowControl w:val="0"/>
        <w:kinsoku/>
        <w:overflowPunct/>
        <w:topLinePunct w:val="0"/>
        <w:bidi w:val="0"/>
        <w:textAlignment w:val="auto"/>
        <w:rPr>
          <w:rFonts w:ascii="宋体" w:hAnsi="Courier New"/>
          <w:color w:val="auto"/>
          <w:kern w:val="0"/>
          <w:sz w:val="20"/>
          <w:highlight w:val="none"/>
        </w:rPr>
      </w:pPr>
      <w:r>
        <w:rPr>
          <w:rFonts w:hint="eastAsia" w:ascii="宋体" w:hAnsi="Courier New"/>
          <w:color w:val="auto"/>
          <w:kern w:val="0"/>
          <w:sz w:val="20"/>
          <w:highlight w:val="none"/>
        </w:rPr>
        <w:t>致:</w:t>
      </w:r>
      <w:r>
        <w:rPr>
          <w:rFonts w:ascii="宋体" w:hAnsi="Courier New"/>
          <w:color w:val="auto"/>
          <w:kern w:val="0"/>
          <w:sz w:val="20"/>
          <w:highlight w:val="none"/>
        </w:rPr>
        <w:t>四川天府银行股份有限公司</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ascii="宋体"/>
          <w:color w:val="auto"/>
          <w:highlight w:val="none"/>
        </w:rPr>
        <w:t>下述投标人愿响应你方    年  月  日的投标邀请，参与投标，提供符合需</w:t>
      </w:r>
      <w:r>
        <w:rPr>
          <w:rFonts w:hint="eastAsia"/>
          <w:color w:val="auto"/>
          <w:highlight w:val="none"/>
        </w:rPr>
        <w:t>求说明书中的要求，并按招标文件要求提交所附资格文件且声明和保证如下：</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color w:val="auto"/>
          <w:highlight w:val="none"/>
        </w:rPr>
        <w:t>1、我方所提交的所有文件材料是真实的、完整的、合法的、有效的，我方愿为其真实性、完整性、合法性、有效性承担法律责任；</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color w:val="auto"/>
          <w:highlight w:val="none"/>
        </w:rPr>
        <w:t>2、我方是依法注册的法人，在法律上、财务上和运作上完全独立于招标人。</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color w:val="auto"/>
          <w:highlight w:val="none"/>
        </w:rPr>
        <w:t>3、我方在经营活动及参与有关采购活动中没有重大违法活动及涉嫌违规行为，并没有因而被有关部门警告或处分的记录。</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4</w:t>
      </w:r>
      <w:r>
        <w:rPr>
          <w:rFonts w:ascii="宋体"/>
          <w:color w:val="auto"/>
          <w:highlight w:val="none"/>
        </w:rPr>
        <w:t xml:space="preserve">. </w:t>
      </w:r>
      <w:r>
        <w:rPr>
          <w:rFonts w:hint="eastAsia" w:ascii="宋体"/>
          <w:color w:val="auto"/>
          <w:highlight w:val="none"/>
        </w:rPr>
        <w:t>我方提供的产品及相关服务与招标文件的要求一致。</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hint="eastAsia" w:ascii="宋体"/>
          <w:color w:val="auto"/>
          <w:highlight w:val="none"/>
        </w:rPr>
      </w:pPr>
      <w:r>
        <w:rPr>
          <w:rFonts w:hint="eastAsia" w:ascii="宋体"/>
          <w:color w:val="auto"/>
          <w:highlight w:val="none"/>
        </w:rPr>
        <w:t>5</w:t>
      </w:r>
      <w:r>
        <w:rPr>
          <w:rFonts w:ascii="宋体"/>
          <w:color w:val="auto"/>
          <w:highlight w:val="none"/>
        </w:rPr>
        <w:t xml:space="preserve">. </w:t>
      </w:r>
      <w:r>
        <w:rPr>
          <w:rFonts w:hint="eastAsia" w:ascii="宋体"/>
          <w:color w:val="auto"/>
          <w:highlight w:val="none"/>
        </w:rPr>
        <w:t>我方提供的所有产品、技术及服务的原产地均应来自中华人民共和国或是与中华人民共和国有正常贸易往来的国家或地区。</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6</w:t>
      </w:r>
      <w:r>
        <w:rPr>
          <w:rFonts w:ascii="宋体"/>
          <w:color w:val="auto"/>
          <w:highlight w:val="none"/>
        </w:rPr>
        <w:t xml:space="preserve">. </w:t>
      </w:r>
      <w:r>
        <w:rPr>
          <w:rFonts w:hint="eastAsia" w:ascii="宋体"/>
          <w:color w:val="auto"/>
          <w:highlight w:val="none"/>
        </w:rPr>
        <w:t>我方在递交投标文件之前或同时，应当自行负责调查、评估其所在国家或地区法律或政府政策对于其向</w:t>
      </w:r>
      <w:r>
        <w:rPr>
          <w:rFonts w:hint="eastAsia"/>
          <w:color w:val="auto"/>
          <w:highlight w:val="none"/>
        </w:rPr>
        <w:t>招标</w:t>
      </w:r>
      <w:r>
        <w:rPr>
          <w:rFonts w:hint="eastAsia" w:ascii="宋体"/>
          <w:color w:val="auto"/>
          <w:highlight w:val="none"/>
        </w:rPr>
        <w:t>人供应本项目所需的软件、系统、技术等一切产品和服务可能涉及或存在的批准、审查、许可证、登记、备案或其他类似的要求或障碍，并应当向</w:t>
      </w:r>
      <w:r>
        <w:rPr>
          <w:rFonts w:hint="eastAsia"/>
          <w:color w:val="auto"/>
          <w:highlight w:val="none"/>
        </w:rPr>
        <w:t>招标</w:t>
      </w:r>
      <w:r>
        <w:rPr>
          <w:rFonts w:hint="eastAsia" w:ascii="宋体"/>
          <w:color w:val="auto"/>
          <w:highlight w:val="none"/>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7</w:t>
      </w:r>
      <w:r>
        <w:rPr>
          <w:rFonts w:ascii="宋体"/>
          <w:color w:val="auto"/>
          <w:highlight w:val="none"/>
        </w:rPr>
        <w:t xml:space="preserve">. </w:t>
      </w:r>
      <w:r>
        <w:rPr>
          <w:rFonts w:hint="eastAsia" w:ascii="宋体"/>
          <w:color w:val="auto"/>
          <w:highlight w:val="none"/>
        </w:rPr>
        <w:t>我方保证，我方已经从其合法所有人得到了合法、适当的授权，并保证其产品、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8</w:t>
      </w:r>
      <w:r>
        <w:rPr>
          <w:rFonts w:ascii="宋体"/>
          <w:color w:val="auto"/>
          <w:highlight w:val="none"/>
        </w:rPr>
        <w:t xml:space="preserve">. </w:t>
      </w:r>
      <w:r>
        <w:rPr>
          <w:rFonts w:hint="eastAsia" w:ascii="宋体"/>
          <w:color w:val="auto"/>
          <w:highlight w:val="none"/>
        </w:rPr>
        <w:t>我方保证，招标人在中华人民共和国使用产品或产品的任何一部分时，如因使用我方提供的产品或服务而受到第三方关于侵犯版权、专利权、商标权或其他形式的知识产权的指控或</w:t>
      </w:r>
      <w:r>
        <w:rPr>
          <w:rFonts w:hint="eastAsia" w:ascii="宋体"/>
          <w:color w:val="auto"/>
          <w:highlight w:val="none"/>
          <w:lang w:eastAsia="zh-CN"/>
        </w:rPr>
        <w:t>其他</w:t>
      </w:r>
      <w:r>
        <w:rPr>
          <w:rFonts w:hint="eastAsia" w:ascii="宋体"/>
          <w:color w:val="auto"/>
          <w:highlight w:val="none"/>
        </w:rPr>
        <w:t>指控，由我方与该第三方交涉，采取措施使招标人免受第三方提出侵犯其专利权或</w:t>
      </w:r>
      <w:r>
        <w:rPr>
          <w:rFonts w:hint="eastAsia" w:ascii="宋体"/>
          <w:color w:val="auto"/>
          <w:highlight w:val="none"/>
          <w:lang w:eastAsia="zh-CN"/>
        </w:rPr>
        <w:t>其他</w:t>
      </w:r>
      <w:r>
        <w:rPr>
          <w:rFonts w:hint="eastAsia" w:ascii="宋体"/>
          <w:color w:val="auto"/>
          <w:highlight w:val="none"/>
        </w:rPr>
        <w:t>知识产权的起诉，并对招标人承担相应的赔偿责任。</w:t>
      </w:r>
    </w:p>
    <w:p>
      <w:pPr>
        <w:keepNext w:val="0"/>
        <w:keepLines w:val="0"/>
        <w:pageBreakBefore w:val="0"/>
        <w:widowControl w:val="0"/>
        <w:kinsoku/>
        <w:overflowPunct/>
        <w:topLinePunct w:val="0"/>
        <w:bidi w:val="0"/>
        <w:ind w:firstLine="420" w:firstLineChars="200"/>
        <w:textAlignment w:val="auto"/>
        <w:rPr>
          <w:rFonts w:ascii="宋体"/>
          <w:color w:val="auto"/>
          <w:highlight w:val="none"/>
        </w:rPr>
      </w:pPr>
      <w:r>
        <w:rPr>
          <w:rFonts w:hint="eastAsia" w:ascii="宋体"/>
          <w:color w:val="auto"/>
          <w:highlight w:val="none"/>
        </w:rPr>
        <w:t>我公司承诺，上述声明及保证均为真实、有效的，如存在隐瞒、欺骗等情形，由此产生的一切后果，由我方自行承担。</w:t>
      </w:r>
    </w:p>
    <w:p>
      <w:pPr>
        <w:keepNext w:val="0"/>
        <w:keepLines w:val="0"/>
        <w:pageBreakBefore w:val="0"/>
        <w:widowControl w:val="0"/>
        <w:kinsoku/>
        <w:overflowPunct/>
        <w:topLinePunct w:val="0"/>
        <w:bidi w:val="0"/>
        <w:ind w:firstLine="420" w:firstLineChars="200"/>
        <w:textAlignment w:val="auto"/>
        <w:rPr>
          <w:rFonts w:ascii="宋体"/>
          <w:color w:val="auto"/>
          <w:highlight w:val="none"/>
        </w:rPr>
      </w:pPr>
      <w:r>
        <w:rPr>
          <w:rFonts w:hint="eastAsia" w:ascii="宋体"/>
          <w:color w:val="auto"/>
          <w:highlight w:val="none"/>
        </w:rPr>
        <w:t>特此声明！</w:t>
      </w:r>
    </w:p>
    <w:p>
      <w:pPr>
        <w:pStyle w:val="6"/>
        <w:keepNext w:val="0"/>
        <w:keepLines w:val="0"/>
        <w:pageBreakBefore w:val="0"/>
        <w:widowControl w:val="0"/>
        <w:tabs>
          <w:tab w:val="left" w:pos="4500"/>
        </w:tabs>
        <w:kinsoku/>
        <w:overflowPunct/>
        <w:topLinePunct w:val="0"/>
        <w:bidi w:val="0"/>
        <w:ind w:left="208" w:leftChars="99" w:firstLine="514" w:firstLineChars="257"/>
        <w:textAlignment w:val="auto"/>
        <w:rPr>
          <w:color w:val="auto"/>
          <w:highlight w:val="none"/>
        </w:rPr>
      </w:pP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投标人（公章）</w:t>
      </w:r>
      <w:r>
        <w:rPr>
          <w:rFonts w:hint="eastAsia" w:ascii="宋体"/>
          <w:color w:val="auto"/>
          <w:highlight w:val="none"/>
        </w:rPr>
        <w:tab/>
      </w:r>
      <w:r>
        <w:rPr>
          <w:rFonts w:hint="eastAsia" w:ascii="宋体"/>
          <w:color w:val="auto"/>
          <w:highlight w:val="none"/>
        </w:rPr>
        <w:t>授权签字人</w:t>
      </w: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名称：</w:t>
      </w:r>
      <w:r>
        <w:rPr>
          <w:rFonts w:hint="eastAsia" w:ascii="宋体"/>
          <w:color w:val="auto"/>
          <w:highlight w:val="none"/>
        </w:rPr>
        <w:tab/>
      </w:r>
      <w:r>
        <w:rPr>
          <w:rFonts w:hint="eastAsia" w:ascii="宋体"/>
          <w:color w:val="auto"/>
          <w:highlight w:val="none"/>
        </w:rPr>
        <w:t>姓名：</w:t>
      </w: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地址：</w:t>
      </w:r>
      <w:r>
        <w:rPr>
          <w:rFonts w:hint="eastAsia" w:ascii="宋体"/>
          <w:color w:val="auto"/>
          <w:highlight w:val="none"/>
        </w:rPr>
        <w:tab/>
      </w:r>
      <w:r>
        <w:rPr>
          <w:rFonts w:hint="eastAsia" w:ascii="宋体"/>
          <w:color w:val="auto"/>
          <w:highlight w:val="none"/>
        </w:rPr>
        <w:t>职务：</w:t>
      </w: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邮编：</w:t>
      </w:r>
      <w:r>
        <w:rPr>
          <w:rFonts w:hint="eastAsia" w:ascii="宋体"/>
          <w:color w:val="auto"/>
          <w:highlight w:val="none"/>
        </w:rPr>
        <w:tab/>
      </w:r>
      <w:r>
        <w:rPr>
          <w:rFonts w:hint="eastAsia" w:ascii="宋体"/>
          <w:color w:val="auto"/>
          <w:highlight w:val="none"/>
        </w:rPr>
        <w:t>签名：</w:t>
      </w: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7" w:name="_Toc10648"/>
      <w:r>
        <w:rPr>
          <w:rFonts w:hint="eastAsia"/>
          <w:color w:val="auto"/>
          <w:highlight w:val="none"/>
          <w:lang w:val="en-US" w:eastAsia="zh-CN"/>
        </w:rPr>
        <w:t>商务资格审查文件</w:t>
      </w:r>
      <w:bookmarkEnd w:id="67"/>
    </w:p>
    <w:p>
      <w:pPr>
        <w:autoSpaceDE w:val="0"/>
        <w:autoSpaceDN w:val="0"/>
        <w:adjustRightInd w:val="0"/>
        <w:spacing w:line="360" w:lineRule="auto"/>
        <w:jc w:val="center"/>
        <w:outlineLvl w:val="0"/>
        <w:rPr>
          <w:rFonts w:hint="eastAsia" w:ascii="宋体" w:hAnsi="宋体" w:eastAsia="宋体" w:cs="宋体"/>
          <w:b/>
          <w:color w:val="auto"/>
          <w:sz w:val="21"/>
          <w:szCs w:val="21"/>
        </w:rPr>
      </w:pPr>
      <w:bookmarkStart w:id="68" w:name="_Toc26797"/>
      <w:r>
        <w:rPr>
          <w:rFonts w:hint="eastAsia" w:ascii="宋体" w:hAnsi="宋体" w:eastAsia="宋体" w:cs="宋体"/>
          <w:b/>
          <w:color w:val="auto"/>
          <w:sz w:val="21"/>
          <w:szCs w:val="21"/>
        </w:rPr>
        <w:t>商务资格审查文件</w:t>
      </w:r>
      <w:bookmarkEnd w:id="68"/>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投标人资格简表</w:t>
      </w:r>
    </w:p>
    <w:tbl>
      <w:tblPr>
        <w:tblStyle w:val="14"/>
        <w:tblW w:w="8145" w:type="dxa"/>
        <w:tblInd w:w="3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60"/>
        <w:gridCol w:w="2160"/>
        <w:gridCol w:w="1980"/>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企 业 名 称</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企 业 类 型</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5985"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法 定 代 表 人</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授 权 代 表 人</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授权代表电话</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员 工 人 数</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税  号</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145"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rPr>
              <w:t>企业近三年经营情况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资产负债率</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营业利润率</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sz w:val="21"/>
                <w:szCs w:val="21"/>
              </w:rPr>
            </w:pPr>
          </w:p>
        </w:tc>
      </w:tr>
    </w:tbl>
    <w:p>
      <w:pPr>
        <w:autoSpaceDE w:val="0"/>
        <w:autoSpaceDN w:val="0"/>
        <w:adjustRightInd w:val="0"/>
        <w:spacing w:before="156" w:beforeLines="50"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 公司简介</w:t>
      </w:r>
      <w:r>
        <w:rPr>
          <w:rFonts w:hint="eastAsia" w:ascii="宋体" w:hAnsi="宋体" w:cs="宋体"/>
          <w:color w:val="auto"/>
          <w:sz w:val="21"/>
          <w:szCs w:val="21"/>
          <w:lang w:eastAsia="zh-CN"/>
        </w:rPr>
        <w:t>。</w:t>
      </w:r>
    </w:p>
    <w:p>
      <w:pPr>
        <w:autoSpaceDE w:val="0"/>
        <w:autoSpaceDN w:val="0"/>
        <w:adjustRightInd w:val="0"/>
        <w:spacing w:before="156" w:beforeLines="5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cs="宋体"/>
          <w:color w:val="auto"/>
          <w:sz w:val="21"/>
          <w:szCs w:val="21"/>
          <w:lang w:val="en-US" w:eastAsia="zh-CN"/>
        </w:rPr>
        <w:t>投标人资质证明文件</w:t>
      </w:r>
      <w:r>
        <w:rPr>
          <w:rFonts w:hint="eastAsia" w:ascii="宋体" w:hAnsi="宋体" w:eastAsia="宋体" w:cs="宋体"/>
          <w:color w:val="auto"/>
          <w:sz w:val="21"/>
          <w:szCs w:val="21"/>
        </w:rPr>
        <w:t>。</w:t>
      </w:r>
    </w:p>
    <w:p>
      <w:pPr>
        <w:autoSpaceDE w:val="0"/>
        <w:autoSpaceDN w:val="0"/>
        <w:adjustRightInd w:val="0"/>
        <w:spacing w:before="156" w:beforeLines="5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质量和售后服务等的承诺。</w:t>
      </w:r>
    </w:p>
    <w:p>
      <w:pPr>
        <w:autoSpaceDE w:val="0"/>
        <w:autoSpaceDN w:val="0"/>
        <w:adjustRightInd w:val="0"/>
        <w:spacing w:before="156" w:beforeLines="50"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5. 提供投标文件截止时间前</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rPr>
        <w:t>个会计年度内经会计事务所审计的资产负债表、现金流量表、利润表（扫描件）。</w:t>
      </w:r>
    </w:p>
    <w:p>
      <w:pPr>
        <w:autoSpaceDE w:val="0"/>
        <w:autoSpaceDN w:val="0"/>
        <w:adjustRightInd w:val="0"/>
        <w:spacing w:before="156" w:beforeLines="50"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 负责本项目投标及合同执行的项目经理及相关人员（简介、以往工作经历、职责等）。</w:t>
      </w:r>
    </w:p>
    <w:p>
      <w:pPr>
        <w:pStyle w:val="7"/>
        <w:spacing w:before="156" w:beforeLines="50"/>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我们已按上述要求提供了现有的全部文件、资料，并对所提供的文件、资料的真实性承担责任。</w:t>
      </w:r>
    </w:p>
    <w:p>
      <w:pPr>
        <w:autoSpaceDE w:val="0"/>
        <w:autoSpaceDN w:val="0"/>
        <w:adjustRightInd w:val="0"/>
        <w:spacing w:line="360" w:lineRule="auto"/>
        <w:rPr>
          <w:rFonts w:hint="eastAsia" w:ascii="宋体" w:hAnsi="宋体" w:eastAsia="宋体" w:cs="宋体"/>
          <w:color w:val="auto"/>
          <w:sz w:val="21"/>
          <w:szCs w:val="21"/>
        </w:rPr>
      </w:pPr>
    </w:p>
    <w:p>
      <w:pPr>
        <w:autoSpaceDE w:val="0"/>
        <w:autoSpaceDN w:val="0"/>
        <w:adjustRightInd w:val="0"/>
        <w:spacing w:line="360" w:lineRule="auto"/>
        <w:ind w:left="1260" w:leftChars="600" w:right="420" w:firstLine="1043" w:firstLineChars="497"/>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投标人名称：</w:t>
      </w:r>
    </w:p>
    <w:p>
      <w:pPr>
        <w:autoSpaceDE w:val="0"/>
        <w:autoSpaceDN w:val="0"/>
        <w:adjustRightInd w:val="0"/>
        <w:spacing w:line="360" w:lineRule="auto"/>
        <w:ind w:left="1260" w:leftChars="600" w:right="420"/>
        <w:jc w:val="center"/>
        <w:outlineLvl w:val="0"/>
        <w:rPr>
          <w:rFonts w:hint="eastAsia" w:ascii="宋体" w:hAnsi="宋体" w:eastAsia="宋体" w:cs="宋体"/>
          <w:color w:val="auto"/>
          <w:sz w:val="21"/>
          <w:szCs w:val="21"/>
          <w:u w:val="single"/>
        </w:rPr>
      </w:pPr>
      <w:r>
        <w:rPr>
          <w:rFonts w:hint="eastAsia" w:ascii="宋体" w:hAnsi="宋体" w:cs="宋体"/>
          <w:b w:val="0"/>
          <w:bCs/>
          <w:color w:val="auto"/>
          <w:sz w:val="21"/>
          <w:szCs w:val="21"/>
          <w:lang w:val="en-US" w:eastAsia="zh-CN"/>
        </w:rPr>
        <w:t xml:space="preserve">    </w:t>
      </w:r>
      <w:bookmarkStart w:id="69" w:name="_Toc3752"/>
      <w:r>
        <w:rPr>
          <w:rFonts w:hint="eastAsia" w:ascii="宋体" w:hAnsi="宋体" w:eastAsia="宋体" w:cs="宋体"/>
          <w:b w:val="0"/>
          <w:bCs/>
          <w:color w:val="auto"/>
          <w:sz w:val="21"/>
          <w:szCs w:val="21"/>
        </w:rPr>
        <w:t>法定代表人或授权代表（只填写姓名）：</w:t>
      </w:r>
      <w:bookmarkEnd w:id="69"/>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autoSpaceDE w:val="0"/>
        <w:autoSpaceDN w:val="0"/>
        <w:adjustRightInd w:val="0"/>
        <w:spacing w:line="360" w:lineRule="auto"/>
        <w:ind w:right="420" w:firstLine="126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70" w:name="_Toc30005"/>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bookmarkEnd w:id="70"/>
    </w:p>
    <w:p>
      <w:pPr>
        <w:keepNext w:val="0"/>
        <w:keepLines w:val="0"/>
        <w:pageBreakBefore w:val="0"/>
        <w:widowControl w:val="0"/>
        <w:kinsoku/>
        <w:overflowPunct/>
        <w:topLinePunct w:val="0"/>
        <w:bidi w:val="0"/>
        <w:textAlignment w:val="auto"/>
        <w:rPr>
          <w:color w:val="auto"/>
        </w:rPr>
      </w:pPr>
    </w:p>
    <w:sectPr>
      <w:footerReference r:id="rId4" w:type="default"/>
      <w:pgSz w:w="11906" w:h="16838"/>
      <w:pgMar w:top="1440" w:right="1797" w:bottom="1440" w:left="179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inline distT="0" distB="0" distL="114300" distR="114300">
          <wp:extent cx="1813560" cy="365125"/>
          <wp:effectExtent l="0" t="0" r="15240" b="15875"/>
          <wp:docPr id="2" name="图片 1" descr="四川天府银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四川天府银行LOGO"/>
                  <pic:cNvPicPr>
                    <a:picLocks noChangeAspect="1"/>
                  </pic:cNvPicPr>
                </pic:nvPicPr>
                <pic:blipFill>
                  <a:blip r:embed="rId1"/>
                  <a:stretch>
                    <a:fillRect/>
                  </a:stretch>
                </pic:blipFill>
                <pic:spPr>
                  <a:xfrm>
                    <a:off x="0" y="0"/>
                    <a:ext cx="1813560" cy="365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3"/>
    <w:multiLevelType w:val="multilevel"/>
    <w:tmpl w:val="00000013"/>
    <w:lvl w:ilvl="0" w:tentative="0">
      <w:start w:val="1"/>
      <w:numFmt w:val="decimal"/>
      <w:lvlText w:val="（%1）"/>
      <w:lvlJc w:val="left"/>
      <w:pPr>
        <w:tabs>
          <w:tab w:val="left" w:pos="1440"/>
        </w:tabs>
        <w:ind w:left="1440" w:hanging="720"/>
      </w:pPr>
      <w:rPr>
        <w:rFonts w:hint="default"/>
      </w:rPr>
    </w:lvl>
    <w:lvl w:ilvl="1" w:tentative="0">
      <w:start w:val="5"/>
      <w:numFmt w:val="decimal"/>
      <w:lvlText w:val="%2."/>
      <w:lvlJc w:val="left"/>
      <w:pPr>
        <w:tabs>
          <w:tab w:val="left" w:pos="1770"/>
        </w:tabs>
        <w:ind w:left="1770" w:hanging="630"/>
      </w:pPr>
      <w:rPr>
        <w:rFonts w:hint="default" w:hAnsi="Times New Roman"/>
      </w:rPr>
    </w:lvl>
    <w:lvl w:ilvl="2" w:tentative="0">
      <w:start w:val="1"/>
      <w:numFmt w:val="japaneseCounting"/>
      <w:lvlText w:val="%3、"/>
      <w:lvlJc w:val="left"/>
      <w:pPr>
        <w:tabs>
          <w:tab w:val="left" w:pos="1980"/>
        </w:tabs>
        <w:ind w:left="1980" w:hanging="420"/>
      </w:pPr>
      <w:rPr>
        <w:rFonts w:hint="default"/>
      </w:rPr>
    </w:lvl>
    <w:lvl w:ilvl="3" w:tentative="0">
      <w:start w:val="3"/>
      <w:numFmt w:val="decimal"/>
      <w:lvlText w:val="%4．"/>
      <w:lvlJc w:val="left"/>
      <w:pPr>
        <w:tabs>
          <w:tab w:val="left" w:pos="2340"/>
        </w:tabs>
        <w:ind w:left="2340" w:hanging="360"/>
      </w:pPr>
      <w:rPr>
        <w:rFonts w:hint="default" w:ascii="宋体"/>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47067EFF"/>
    <w:multiLevelType w:val="multilevel"/>
    <w:tmpl w:val="47067EFF"/>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3">
    <w:nsid w:val="7A044208"/>
    <w:multiLevelType w:val="multilevel"/>
    <w:tmpl w:val="7A044208"/>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4">
    <w:nsid w:val="7FA82252"/>
    <w:multiLevelType w:val="multilevel"/>
    <w:tmpl w:val="7FA82252"/>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71DA4"/>
    <w:rsid w:val="014E1FD0"/>
    <w:rsid w:val="01E305A8"/>
    <w:rsid w:val="02C709D4"/>
    <w:rsid w:val="03F637F0"/>
    <w:rsid w:val="05FA3FAA"/>
    <w:rsid w:val="07134DF0"/>
    <w:rsid w:val="07252831"/>
    <w:rsid w:val="084859A3"/>
    <w:rsid w:val="089970C0"/>
    <w:rsid w:val="095E5797"/>
    <w:rsid w:val="0B402DE5"/>
    <w:rsid w:val="0BE0558A"/>
    <w:rsid w:val="0BF906B3"/>
    <w:rsid w:val="0C121F21"/>
    <w:rsid w:val="0C506B43"/>
    <w:rsid w:val="0DC8391D"/>
    <w:rsid w:val="0E9C44C3"/>
    <w:rsid w:val="104A3274"/>
    <w:rsid w:val="11C330EC"/>
    <w:rsid w:val="12263756"/>
    <w:rsid w:val="13C3447C"/>
    <w:rsid w:val="140C543B"/>
    <w:rsid w:val="156B3533"/>
    <w:rsid w:val="174B3FB3"/>
    <w:rsid w:val="183539C6"/>
    <w:rsid w:val="185A6315"/>
    <w:rsid w:val="188F20DA"/>
    <w:rsid w:val="1A337C08"/>
    <w:rsid w:val="1B0F40F3"/>
    <w:rsid w:val="1D694681"/>
    <w:rsid w:val="1E05598C"/>
    <w:rsid w:val="1F270DE3"/>
    <w:rsid w:val="1F4D52C9"/>
    <w:rsid w:val="1FD67095"/>
    <w:rsid w:val="20436A3A"/>
    <w:rsid w:val="20E80BFD"/>
    <w:rsid w:val="22077B64"/>
    <w:rsid w:val="22AF0CB3"/>
    <w:rsid w:val="23543341"/>
    <w:rsid w:val="2387194A"/>
    <w:rsid w:val="249A1068"/>
    <w:rsid w:val="25A66623"/>
    <w:rsid w:val="25E87C64"/>
    <w:rsid w:val="28176FFE"/>
    <w:rsid w:val="2843156E"/>
    <w:rsid w:val="28893497"/>
    <w:rsid w:val="29A11AD9"/>
    <w:rsid w:val="29CD13AE"/>
    <w:rsid w:val="2A312FCF"/>
    <w:rsid w:val="2BE60D3D"/>
    <w:rsid w:val="2D5E4A3C"/>
    <w:rsid w:val="2DC55296"/>
    <w:rsid w:val="2DE42A0F"/>
    <w:rsid w:val="2E047B0F"/>
    <w:rsid w:val="2E326AFC"/>
    <w:rsid w:val="2E5D570E"/>
    <w:rsid w:val="30F071FD"/>
    <w:rsid w:val="31144E94"/>
    <w:rsid w:val="31A31480"/>
    <w:rsid w:val="31B8211E"/>
    <w:rsid w:val="31C75B97"/>
    <w:rsid w:val="335D0251"/>
    <w:rsid w:val="33A63843"/>
    <w:rsid w:val="33CA6686"/>
    <w:rsid w:val="369D4B1D"/>
    <w:rsid w:val="36FC3247"/>
    <w:rsid w:val="37126AB2"/>
    <w:rsid w:val="389F3A3F"/>
    <w:rsid w:val="39985E8D"/>
    <w:rsid w:val="39AD25AF"/>
    <w:rsid w:val="3B111C96"/>
    <w:rsid w:val="3BFD7385"/>
    <w:rsid w:val="3C211CB3"/>
    <w:rsid w:val="3ECC5115"/>
    <w:rsid w:val="3EF3524D"/>
    <w:rsid w:val="3FEC3FA3"/>
    <w:rsid w:val="41DF672F"/>
    <w:rsid w:val="41FA7370"/>
    <w:rsid w:val="43B807E2"/>
    <w:rsid w:val="45381AEB"/>
    <w:rsid w:val="482A1A6E"/>
    <w:rsid w:val="4C4857B4"/>
    <w:rsid w:val="4CFF4B0F"/>
    <w:rsid w:val="4D1829A9"/>
    <w:rsid w:val="4ED86F3D"/>
    <w:rsid w:val="4EE07788"/>
    <w:rsid w:val="4FAD3644"/>
    <w:rsid w:val="50D263CD"/>
    <w:rsid w:val="522B3249"/>
    <w:rsid w:val="52CD4101"/>
    <w:rsid w:val="532D4B0B"/>
    <w:rsid w:val="54B46905"/>
    <w:rsid w:val="54EB6122"/>
    <w:rsid w:val="59F934DB"/>
    <w:rsid w:val="5A2C3BB2"/>
    <w:rsid w:val="5A870015"/>
    <w:rsid w:val="5AFD3ABC"/>
    <w:rsid w:val="5C14521D"/>
    <w:rsid w:val="5C951537"/>
    <w:rsid w:val="5D475E27"/>
    <w:rsid w:val="5D87033A"/>
    <w:rsid w:val="5E8A2E06"/>
    <w:rsid w:val="5FE5260D"/>
    <w:rsid w:val="60410FB0"/>
    <w:rsid w:val="61701F70"/>
    <w:rsid w:val="62127771"/>
    <w:rsid w:val="63F02CDF"/>
    <w:rsid w:val="66131908"/>
    <w:rsid w:val="67F56F1D"/>
    <w:rsid w:val="69357522"/>
    <w:rsid w:val="69DA123E"/>
    <w:rsid w:val="6A166B97"/>
    <w:rsid w:val="6B3B093B"/>
    <w:rsid w:val="6BA114CA"/>
    <w:rsid w:val="6CE1328C"/>
    <w:rsid w:val="6F1063C6"/>
    <w:rsid w:val="6FDF5799"/>
    <w:rsid w:val="72591622"/>
    <w:rsid w:val="725C7C41"/>
    <w:rsid w:val="72FA02C7"/>
    <w:rsid w:val="75DE4D0A"/>
    <w:rsid w:val="76E71DA4"/>
    <w:rsid w:val="77A30552"/>
    <w:rsid w:val="79431E05"/>
    <w:rsid w:val="7A4D6A17"/>
    <w:rsid w:val="7A993E33"/>
    <w:rsid w:val="7DD02125"/>
    <w:rsid w:val="7F36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numPr>
        <w:ilvl w:val="0"/>
        <w:numId w:val="1"/>
      </w:numPr>
      <w:spacing w:before="240" w:line="360" w:lineRule="auto"/>
      <w:outlineLvl w:val="0"/>
    </w:pPr>
    <w:rPr>
      <w:rFonts w:ascii="宋体" w:hAnsi="宋体"/>
      <w:b/>
      <w:kern w:val="44"/>
      <w:sz w:val="28"/>
    </w:rPr>
  </w:style>
  <w:style w:type="paragraph" w:styleId="3">
    <w:name w:val="heading 2"/>
    <w:basedOn w:val="1"/>
    <w:next w:val="1"/>
    <w:qFormat/>
    <w:uiPriority w:val="0"/>
    <w:pPr>
      <w:keepLines/>
      <w:numPr>
        <w:ilvl w:val="1"/>
        <w:numId w:val="1"/>
      </w:numPr>
      <w:spacing w:beforeLines="50" w:afterLines="50" w:line="360" w:lineRule="auto"/>
      <w:jc w:val="left"/>
      <w:outlineLvl w:val="1"/>
    </w:pPr>
    <w:rPr>
      <w:rFonts w:ascii="宋体" w:hAnsi="Arial"/>
      <w:b/>
      <w:kern w:val="44"/>
      <w:sz w:val="24"/>
    </w:rPr>
  </w:style>
  <w:style w:type="paragraph" w:styleId="4">
    <w:name w:val="heading 3"/>
    <w:basedOn w:val="1"/>
    <w:next w:val="1"/>
    <w:qFormat/>
    <w:uiPriority w:val="0"/>
    <w:pPr>
      <w:numPr>
        <w:ilvl w:val="2"/>
        <w:numId w:val="1"/>
      </w:numPr>
      <w:spacing w:line="360" w:lineRule="auto"/>
      <w:outlineLvl w:val="2"/>
    </w:pPr>
    <w:rPr>
      <w:rFonts w:ascii="宋体"/>
      <w:kern w:val="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Plain Text"/>
    <w:basedOn w:val="1"/>
    <w:qFormat/>
    <w:uiPriority w:val="0"/>
    <w:pPr>
      <w:spacing w:line="360" w:lineRule="auto"/>
    </w:pPr>
    <w:rPr>
      <w:rFonts w:ascii="宋体" w:hAnsi="Courier New"/>
      <w:kern w:val="0"/>
      <w:sz w:val="20"/>
    </w:rPr>
  </w:style>
  <w:style w:type="paragraph" w:styleId="7">
    <w:name w:val="Body Text Indent 2"/>
    <w:basedOn w:val="1"/>
    <w:unhideWhenUsed/>
    <w:qFormat/>
    <w:uiPriority w:val="0"/>
    <w:pPr>
      <w:adjustRightInd w:val="0"/>
      <w:spacing w:line="360" w:lineRule="auto"/>
      <w:ind w:firstLine="720"/>
    </w:pPr>
    <w:rPr>
      <w:sz w:val="24"/>
    </w:rPr>
  </w:style>
  <w:style w:type="paragraph" w:styleId="8">
    <w:name w:val="footer"/>
    <w:basedOn w:val="1"/>
    <w:qFormat/>
    <w:uiPriority w:val="99"/>
    <w:pPr>
      <w:widowControl/>
      <w:tabs>
        <w:tab w:val="center" w:pos="4153"/>
        <w:tab w:val="right" w:pos="8306"/>
      </w:tabs>
      <w:snapToGrid w:val="0"/>
      <w:spacing w:line="360" w:lineRule="auto"/>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9232"/>
      </w:tabs>
      <w:jc w:val="center"/>
    </w:pPr>
  </w:style>
  <w:style w:type="paragraph" w:styleId="11">
    <w:name w:val="toc 2"/>
    <w:basedOn w:val="1"/>
    <w:next w:val="1"/>
    <w:unhideWhenUsed/>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Title"/>
    <w:basedOn w:val="1"/>
    <w:next w:val="1"/>
    <w:qFormat/>
    <w:uiPriority w:val="10"/>
    <w:pPr>
      <w:spacing w:before="240" w:after="60"/>
      <w:jc w:val="center"/>
      <w:outlineLvl w:val="0"/>
    </w:pPr>
    <w:rPr>
      <w:rFonts w:ascii="Cambria" w:hAnsi="Cambria" w:eastAsia="黑体"/>
      <w:bCs/>
      <w:sz w:val="44"/>
      <w:szCs w:val="32"/>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unhideWhenUsed/>
    <w:qFormat/>
    <w:uiPriority w:val="99"/>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character" w:customStyle="1" w:styleId="19">
    <w:name w:val="15"/>
    <w:basedOn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2024-12-17T01:09:00Z</dcterms:created>
  <dc:creator>张贝</dc:creator>
  <cp:lastModifiedBy>张贝</cp:lastModifiedBy>
  <dcterms:modified xsi:type="dcterms:W3CDTF">2025-02-20T02:20:29Z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70C30760485B4A3C8622537BD546C43A</vt:lpwstr>
  </property>
</Properties>
</file>